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CHARLA DE SEGURIDAD</w:t>
      </w:r>
    </w:p>
    <w:p>
      <w:pPr>
        <w:spacing w:after="60"/>
      </w:pPr>
      <w:r>
        <w:rPr>
          <w:rFonts w:ascii="Arial" w:cs="Arial" w:eastAsia="Arial" w:hAnsi="Arial"/>
          <w:b/>
          <w:bCs/>
          <w:sz w:val="32"/>
          <w:szCs w:val="32"/>
        </w:rPr>
        <w:t xml:space="preserve">Calentadores temporales: aire, separación y combustible</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Presentada por</w:t>
            </w:r>
          </w:p>
        </w:tc>
      </w:tr>
    </w:tbl>
    <w:p>
      <w:pPr>
        <w:spacing w:after="80"/>
      </w:pPr>
    </w:p>
    <w:p>
      <w:pPr>
        <w:keepNext w:val="false"/>
        <w:spacing w:after="80"/>
      </w:pPr>
      <w:r>
        <w:rPr>
          <w:rFonts w:ascii="Arial" w:cs="Arial" w:eastAsia="Arial" w:hAnsi="Arial"/>
          <w:color w:val="111214"/>
          <w:sz w:val="20"/>
          <w:szCs w:val="20"/>
        </w:rPr>
        <w:t xml:space="preserve">Los calentadores temporales ayudan a trabajar cuando hace frío, pero los de propano, queroseno y otros combustibles pueden causar incendios y peligros por monóxido de carbono. Al cerrar espacios, mover materiales o colocar lonas, una instalación segura puede volverse peligrosa.</w:t>
      </w:r>
    </w:p>
    <w:p>
      <w:pPr>
        <w:keepNext/>
        <w:spacing w:after="80" w:before="200"/>
      </w:pPr>
      <w:r>
        <w:rPr>
          <w:rFonts w:ascii="Arial" w:cs="Arial" w:eastAsia="Arial" w:hAnsi="Arial"/>
          <w:b/>
          <w:bCs/>
          <w:sz w:val="22"/>
          <w:szCs w:val="22"/>
        </w:rPr>
        <w:t xml:space="preserve">Mantengan la circulación de aire fresco</w:t>
      </w:r>
    </w:p>
    <w:p>
      <w:pPr>
        <w:pStyle w:val="ListParagraph"/>
        <w:keepNext w:val="false"/>
        <w:numPr>
          <w:ilvl w:val="0"/>
          <w:numId w:val="1"/>
        </w:numPr>
        <w:spacing w:after="80"/>
      </w:pPr>
      <w:r>
        <w:rPr>
          <w:rFonts w:ascii="Arial" w:cs="Arial" w:eastAsia="Arial" w:hAnsi="Arial"/>
          <w:color w:val="111214"/>
          <w:sz w:val="20"/>
          <w:szCs w:val="20"/>
        </w:rPr>
        <w:t xml:space="preserve">Revisen la entrada de aire antes de encender un calentador. OSHA exige suficiente aire fresco para mantener sanos y seguros a los trabajadores, y eso incluye a todos los que están cerca, no solo a quien maneja el calentador.</w:t>
      </w:r>
    </w:p>
    <w:p>
      <w:pPr>
        <w:pStyle w:val="ListParagraph"/>
        <w:keepNext w:val="false"/>
        <w:numPr>
          <w:ilvl w:val="0"/>
          <w:numId w:val="1"/>
        </w:numPr>
        <w:spacing w:after="80"/>
      </w:pPr>
      <w:r>
        <w:rPr>
          <w:rFonts w:ascii="Arial" w:cs="Arial" w:eastAsia="Arial" w:hAnsi="Arial"/>
          <w:color w:val="111214"/>
          <w:sz w:val="20"/>
          <w:szCs w:val="20"/>
        </w:rPr>
        <w:t xml:space="preserve">Si la circulación natural no basta, se requiere ventilación mecánica. No cierren una abertura ni apaguen la ventilación solo para conservar más calor adentro.</w:t>
      </w:r>
    </w:p>
    <w:p>
      <w:pPr>
        <w:pStyle w:val="ListParagraph"/>
        <w:keepNext w:val="false"/>
        <w:numPr>
          <w:ilvl w:val="0"/>
          <w:numId w:val="1"/>
        </w:numPr>
        <w:spacing w:after="80"/>
      </w:pPr>
      <w:r>
        <w:rPr>
          <w:rFonts w:ascii="Arial" w:cs="Arial" w:eastAsia="Arial" w:hAnsi="Arial"/>
          <w:color w:val="111214"/>
          <w:sz w:val="20"/>
          <w:szCs w:val="20"/>
        </w:rPr>
        <w:t xml:space="preserve">El monóxido de carbono no se ve ni se huele. No supongan que el aire es seguro porque el lugar está caliente o no hay humo.</w:t>
      </w:r>
    </w:p>
    <w:p>
      <w:pPr>
        <w:pStyle w:val="ListParagraph"/>
        <w:keepNext w:val="false"/>
        <w:numPr>
          <w:ilvl w:val="0"/>
          <w:numId w:val="1"/>
        </w:numPr>
        <w:spacing w:after="80"/>
      </w:pPr>
      <w:r>
        <w:rPr>
          <w:rFonts w:ascii="Arial" w:cs="Arial" w:eastAsia="Arial" w:hAnsi="Arial"/>
          <w:color w:val="111214"/>
          <w:sz w:val="20"/>
          <w:szCs w:val="20"/>
        </w:rPr>
        <w:t xml:space="preserve">Los espacios confinados necesitan especial cuidado: ventilación suficiente para quemar bien el combustible, mantener aire seguro y controlar el calor acumulado. Detengan el trabajo y reporten cualquier instalación con ventilación dudosa.</w:t>
      </w:r>
    </w:p>
    <w:p>
      <w:pPr>
        <w:keepNext/>
        <w:spacing w:after="80" w:before="200"/>
      </w:pPr>
      <w:r>
        <w:rPr>
          <w:rFonts w:ascii="Arial" w:cs="Arial" w:eastAsia="Arial" w:hAnsi="Arial"/>
          <w:b/>
          <w:bCs/>
          <w:sz w:val="22"/>
          <w:szCs w:val="22"/>
        </w:rPr>
        <w:t xml:space="preserve">Protejan el espacio alrededor del calentador</w:t>
      </w:r>
    </w:p>
    <w:p>
      <w:pPr>
        <w:pStyle w:val="ListParagraph"/>
        <w:keepNext w:val="false"/>
        <w:numPr>
          <w:ilvl w:val="0"/>
          <w:numId w:val="1"/>
        </w:numPr>
        <w:spacing w:after="80"/>
      </w:pPr>
      <w:r>
        <w:rPr>
          <w:rFonts w:ascii="Arial" w:cs="Arial" w:eastAsia="Arial" w:hAnsi="Arial"/>
          <w:color w:val="111214"/>
          <w:sz w:val="20"/>
          <w:szCs w:val="20"/>
        </w:rPr>
        <w:t xml:space="preserve">Mantengan los calentadores al menos a 10 pies de lonas, telas y cubiertas similares que puedan quemarse. Sujeten bien esas cubiertas para que el viento no las prenda en el calentador ni lo vuelque.</w:t>
      </w:r>
    </w:p>
    <w:p>
      <w:pPr>
        <w:pStyle w:val="ListParagraph"/>
        <w:keepNext w:val="false"/>
        <w:numPr>
          <w:ilvl w:val="0"/>
          <w:numId w:val="1"/>
        </w:numPr>
        <w:spacing w:after="80"/>
      </w:pPr>
      <w:r>
        <w:rPr>
          <w:rFonts w:ascii="Arial" w:cs="Arial" w:eastAsia="Arial" w:hAnsi="Arial"/>
          <w:color w:val="111214"/>
          <w:sz w:val="20"/>
          <w:szCs w:val="20"/>
        </w:rPr>
        <w:t xml:space="preserve">OSHA fija una distancia mínima entre cada tipo de calentador y cualquier cosa que pueda quemarse. Un calentador aprobado para distancias menores puede instalarse como lo permita su aprobación. Pregunten a su supervisor qué distancia aplica antes de apilar madera, empaques u otros materiales que se quemen cerca de un calentador.</w:t>
      </w:r>
    </w:p>
    <w:p>
      <w:pPr>
        <w:pStyle w:val="ListParagraph"/>
        <w:keepNext w:val="false"/>
        <w:numPr>
          <w:ilvl w:val="0"/>
          <w:numId w:val="1"/>
        </w:numPr>
        <w:spacing w:after="80"/>
      </w:pPr>
      <w:r>
        <w:rPr>
          <w:rFonts w:ascii="Arial" w:cs="Arial" w:eastAsia="Arial" w:hAnsi="Arial"/>
          <w:color w:val="111214"/>
          <w:sz w:val="20"/>
          <w:szCs w:val="20"/>
        </w:rPr>
        <w:t xml:space="preserve">Un calentador encendido debe estar nivelado, salvo que las indicaciones del fabricante permitan otra posición. Busquen una base firme y detengan el uso si el movimiento de materiales o el trabajo cercano podría volcarlo.</w:t>
      </w:r>
    </w:p>
    <w:p>
      <w:pPr>
        <w:pStyle w:val="ListParagraph"/>
        <w:keepNext w:val="false"/>
        <w:numPr>
          <w:ilvl w:val="0"/>
          <w:numId w:val="1"/>
        </w:numPr>
        <w:spacing w:after="80"/>
      </w:pPr>
      <w:r>
        <w:rPr>
          <w:rFonts w:ascii="Arial" w:cs="Arial" w:eastAsia="Arial" w:hAnsi="Arial"/>
          <w:color w:val="111214"/>
          <w:sz w:val="20"/>
          <w:szCs w:val="20"/>
        </w:rPr>
        <w:t xml:space="preserve">Un calentador que no está hecho para pisos de madera no debe ponerse directamente sobre madera ni otro material que se queme. Colóquenlo sobre material aislante del calor adecuado, sobre al menos 1 pulgada de concreto o algo equivalente. El material aislante debe sobresalir al menos 2 pies del calentador en todas las direcciones.</w:t>
      </w:r>
    </w:p>
    <w:p>
      <w:pPr>
        <w:keepNext/>
        <w:spacing w:after="80" w:before="200"/>
      </w:pPr>
      <w:r>
        <w:rPr>
          <w:rFonts w:ascii="Arial" w:cs="Arial" w:eastAsia="Arial" w:hAnsi="Arial"/>
          <w:b/>
          <w:bCs/>
          <w:sz w:val="22"/>
          <w:szCs w:val="22"/>
        </w:rPr>
        <w:t xml:space="preserve">Revisen el combustible y los controles de seguridad</w:t>
      </w:r>
    </w:p>
    <w:p>
      <w:pPr>
        <w:pStyle w:val="ListParagraph"/>
        <w:keepNext w:val="false"/>
        <w:numPr>
          <w:ilvl w:val="0"/>
          <w:numId w:val="1"/>
        </w:numPr>
        <w:spacing w:after="80"/>
      </w:pPr>
      <w:r>
        <w:rPr>
          <w:rFonts w:ascii="Arial" w:cs="Arial" w:eastAsia="Arial" w:hAnsi="Arial"/>
          <w:color w:val="111214"/>
          <w:sz w:val="20"/>
          <w:szCs w:val="20"/>
        </w:rPr>
        <w:t xml:space="preserve">Si su trabajo incluye manejar propano, queroseno u otros combustibles, su empleador debe enseñarles a manejarlos y usarlos de forma segura. Si no entienden la instalación, deténganse y pregunten a su supervisor.</w:t>
      </w:r>
    </w:p>
    <w:p>
      <w:pPr>
        <w:pStyle w:val="ListParagraph"/>
        <w:keepNext w:val="false"/>
        <w:numPr>
          <w:ilvl w:val="0"/>
          <w:numId w:val="1"/>
        </w:numPr>
        <w:spacing w:after="80"/>
      </w:pPr>
      <w:r>
        <w:rPr>
          <w:rFonts w:ascii="Arial" w:cs="Arial" w:eastAsia="Arial" w:hAnsi="Arial"/>
          <w:color w:val="111214"/>
          <w:sz w:val="20"/>
          <w:szCs w:val="20"/>
        </w:rPr>
        <w:t xml:space="preserve">Los calentadores que queman combustible líquido inflamable deben tener un control principal de seguridad, un dispositivo que corta el combustible si se apaga la llama. Reporten controles faltantes o defectuosos y nunca los anulen.</w:t>
      </w:r>
    </w:p>
    <w:p>
      <w:pPr>
        <w:pStyle w:val="ListParagraph"/>
        <w:keepNext w:val="false"/>
        <w:numPr>
          <w:ilvl w:val="0"/>
          <w:numId w:val="1"/>
        </w:numPr>
        <w:spacing w:after="80"/>
      </w:pPr>
      <w:r>
        <w:rPr>
          <w:rFonts w:ascii="Arial" w:cs="Arial" w:eastAsia="Arial" w:hAnsi="Arial"/>
          <w:color w:val="111214"/>
          <w:sz w:val="20"/>
          <w:szCs w:val="20"/>
        </w:rPr>
        <w:t xml:space="preserve">La alimentación de aceite por gravedad o barométrica no cuenta como ese control de seguridad. Un calentador hecho para alimentación por gravedad o barométrica solo puede funcionar con el tanque que trae integrado, no con un tanque aparte. Solo los calentadores diseñados y aprobados para un tanque de suministro aparte pueden conectarse a uno.</w:t>
      </w:r>
    </w:p>
    <w:p>
      <w:pPr>
        <w:pStyle w:val="ListParagraph"/>
        <w:keepNext w:val="false"/>
        <w:numPr>
          <w:ilvl w:val="0"/>
          <w:numId w:val="1"/>
        </w:numPr>
        <w:spacing w:after="80"/>
      </w:pPr>
      <w:r>
        <w:rPr>
          <w:rFonts w:ascii="Arial" w:cs="Arial" w:eastAsia="Arial" w:hAnsi="Arial"/>
          <w:color w:val="111214"/>
          <w:sz w:val="20"/>
          <w:szCs w:val="20"/>
        </w:rPr>
        <w:t xml:space="preserve">No usen calentadores tipo salamandra de combustible sólido dentro de edificios ni sobre andamios. Reporten un calentador inadecuado en vez de improvisar para mantenerlo funcionando.</w:t>
      </w:r>
    </w:p>
    <w:p>
      <w:pPr>
        <w:keepNext/>
        <w:spacing w:after="80" w:before="200"/>
      </w:pPr>
      <w:r>
        <w:rPr>
          <w:rFonts w:ascii="Arial" w:cs="Arial" w:eastAsia="Arial" w:hAnsi="Arial"/>
          <w:b/>
          <w:bCs/>
          <w:sz w:val="22"/>
          <w:szCs w:val="22"/>
        </w:rPr>
        <w:t xml:space="preserve">¿Qué haría usted?</w:t>
      </w:r>
    </w:p>
    <w:p>
      <w:pPr>
        <w:keepNext w:val="false"/>
        <w:spacing w:after="80"/>
      </w:pPr>
      <w:r>
        <w:rPr>
          <w:rFonts w:ascii="Arial" w:cs="Arial" w:eastAsia="Arial" w:hAnsi="Arial"/>
          <w:color w:val="111214"/>
          <w:sz w:val="20"/>
          <w:szCs w:val="20"/>
        </w:rPr>
        <w:t xml:space="preserve">Una cuadrilla cierra una abertura entre lonas para conservar calor mientras otra apila madera junto a un calentador encendido. ¿Qué detendrían, revisarían y reportarían antes de seguir trabajando?</w:t>
      </w:r>
    </w:p>
    <w:p>
      <w:pPr>
        <w:keepNext/>
        <w:spacing w:after="80" w:before="200"/>
      </w:pPr>
      <w:r>
        <w:rPr>
          <w:rFonts w:ascii="Arial" w:cs="Arial" w:eastAsia="Arial" w:hAnsi="Arial"/>
          <w:b/>
          <w:bCs/>
          <w:sz w:val="22"/>
          <w:szCs w:val="22"/>
        </w:rPr>
        <w:t xml:space="preserve">Preguntas para el equipo</w:t>
      </w:r>
    </w:p>
    <w:p>
      <w:pPr>
        <w:keepNext w:val="false"/>
        <w:spacing w:after="80"/>
      </w:pPr>
      <w:r>
        <w:rPr>
          <w:rFonts w:ascii="Arial" w:cs="Arial" w:eastAsia="Arial" w:hAnsi="Arial"/>
          <w:color w:val="111214"/>
          <w:sz w:val="20"/>
          <w:szCs w:val="20"/>
        </w:rPr>
        <w:t xml:space="preserve">1. ¿Qué debe hacerse cuando la ventilación natural no basta?</w:t>
      </w:r>
    </w:p>
    <w:p>
      <w:pPr>
        <w:keepNext w:val="false"/>
        <w:spacing w:after="80"/>
      </w:pPr>
      <w:r>
        <w:rPr>
          <w:rFonts w:ascii="Arial" w:cs="Arial" w:eastAsia="Arial" w:hAnsi="Arial"/>
          <w:color w:val="111214"/>
          <w:sz w:val="20"/>
          <w:szCs w:val="20"/>
        </w:rPr>
        <w:t xml:space="preserve">2. ¿A qué distancia deben estar los calentadores de las lonas combustibles?</w:t>
      </w:r>
    </w:p>
    <w:p>
      <w:pPr>
        <w:keepNext w:val="false"/>
        <w:spacing w:after="80"/>
      </w:pPr>
      <w:r>
        <w:rPr>
          <w:rFonts w:ascii="Arial" w:cs="Arial" w:eastAsia="Arial" w:hAnsi="Arial"/>
          <w:color w:val="111214"/>
          <w:sz w:val="20"/>
          <w:szCs w:val="20"/>
        </w:rPr>
        <w:t xml:space="preserve">3. ¿Qué debe cortar el combustible cuando falla la llama de un calentador de combustible líquido?</w:t>
      </w:r>
    </w:p>
    <w:p>
      <w:pPr>
        <w:spacing w:before="120"/>
      </w:pPr>
    </w:p>
    <w:p>
      <w:pPr>
        <w:keepNext w:val="false"/>
        <w:spacing w:after="80"/>
      </w:pPr>
      <w:r>
        <w:rPr>
          <w:rFonts w:ascii="Arial" w:cs="Arial" w:eastAsia="Arial" w:hAnsi="Arial"/>
          <w:b/>
          <w:bCs/>
          <w:color w:val="111214"/>
          <w:sz w:val="20"/>
          <w:szCs w:val="20"/>
        </w:rPr>
        <w:t xml:space="preserve">Antes de calentar el área de trabajo, asegúrense de que el aire, la separación, la base y la instalación de combustible sean seguros.</w:t>
      </w:r>
    </w:p>
    <w:p>
      <w:pPr>
        <w:spacing w:before="200"/>
      </w:pPr>
      <w:r>
        <w:rPr>
          <w:rFonts w:ascii="Arial" w:cs="Arial" w:eastAsia="Arial" w:hAnsi="Arial"/>
          <w:color w:val="5F636B"/>
          <w:sz w:val="15"/>
          <w:szCs w:val="15"/>
        </w:rPr>
        <w:t xml:space="preserve">Fuentes: </w:t>
      </w:r>
      <w:hyperlink w:history="1" r:id="rIdx-yngt0nhnezaevpxf1bn">
        <w:r>
          <w:rPr>
            <w:rFonts w:ascii="Arial" w:cs="Arial" w:eastAsia="Arial" w:hAnsi="Arial"/>
            <w:color w:val="1F5FAD"/>
            <w:sz w:val="15"/>
            <w:szCs w:val="15"/>
            <w:u w:val="single"/>
          </w:rPr>
          <w:t xml:space="preserve">29 CFR 1926.154, Temporary heating devices</w:t>
        </w:r>
      </w:hyperlink>
      <w:r>
        <w:rPr>
          <w:rFonts w:ascii="Arial" w:cs="Arial" w:eastAsia="Arial" w:hAnsi="Arial"/>
          <w:color w:val="5F636B"/>
          <w:sz w:val="15"/>
          <w:szCs w:val="15"/>
        </w:rPr>
        <w:t xml:space="preserve">; </w:t>
      </w:r>
      <w:hyperlink w:history="1" r:id="rIdt3gwxkezqnsxxlmtdpnza">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Borrador redactado con IA para revisión por una persona competente. Clever Rook redacta a partir del texto oficial de las normas que cita, pero no conoce su obra. Compárelo con sus condiciones y el programa de seguridad de su empresa antes de usarlo. No es asesoría legal.</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HOJA DE ASISTENCIA</w:t>
      </w:r>
    </w:p>
    <w:p>
      <w:pPr>
        <w:spacing w:after="60"/>
      </w:pPr>
      <w:r>
        <w:rPr>
          <w:rFonts w:ascii="Arial" w:cs="Arial" w:eastAsia="Arial" w:hAnsi="Arial"/>
          <w:b/>
          <w:bCs/>
          <w:sz w:val="26"/>
          <w:szCs w:val="26"/>
        </w:rPr>
        <w:t xml:space="preserve">Calentadores temporales: aire, separación y combustible</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 de revisión</w:t>
            </w:r>
          </w:p>
        </w:tc>
      </w:tr>
    </w:tbl>
    <w:p>
      <w:pPr>
        <w:spacing w:after="120" w:before="120"/>
      </w:pPr>
      <w:r>
        <w:rPr>
          <w:rFonts w:ascii="Arial" w:cs="Arial" w:eastAsia="Arial" w:hAnsi="Arial"/>
          <w:color w:val="5F636B"/>
          <w:sz w:val="16"/>
          <w:szCs w:val="16"/>
        </w:rPr>
        <w:t xml:space="preserve">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x-yngt0nhnezaevpxf1bn" Type="http://schemas.openxmlformats.org/officeDocument/2006/relationships/hyperlink" Target="https://www.ecfr.gov/current/title-29/section-1926.154" TargetMode="External"/><Relationship Id="rIdt3gwxkezqnsxxlmtdpnza"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Heaters: Air, Clearance, and Fuel</dc:title>
  <dc:creator>Clever Rook</dc:creator>
  <cp:lastModifiedBy>Un-named</cp:lastModifiedBy>
  <cp:revision>1</cp:revision>
  <dcterms:created xsi:type="dcterms:W3CDTF">2026-10-20T15:04:04.586Z</dcterms:created>
  <dcterms:modified xsi:type="dcterms:W3CDTF">2026-10-20T15:04:04.588Z</dcterms:modified>
</cp:coreProperties>
</file>

<file path=docProps/custom.xml><?xml version="1.0" encoding="utf-8"?>
<Properties xmlns="http://schemas.openxmlformats.org/officeDocument/2006/custom-properties" xmlns:vt="http://schemas.openxmlformats.org/officeDocument/2006/docPropsVTypes"/>
</file>