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CHARLA DE SEGURIDAD</w:t>
      </w:r>
    </w:p>
    <w:p>
      <w:pPr>
        <w:spacing w:after="60"/>
      </w:pPr>
      <w:r>
        <w:rPr>
          <w:rFonts w:ascii="Arial" w:cs="Arial" w:eastAsia="Arial" w:hAnsi="Arial"/>
          <w:b/>
          <w:bCs/>
          <w:sz w:val="32"/>
          <w:szCs w:val="32"/>
        </w:rPr>
        <w:t xml:space="preserve">Bordes de techo, líneas de advertencia y huecos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Presentada por</w:t>
            </w:r>
          </w:p>
        </w:tc>
      </w:tr>
    </w:tbl>
    <w:p>
      <w:pPr>
        <w:spacing w:after="80"/>
      </w:pPr>
    </w:p>
    <w:p>
      <w:pPr>
        <w:keepNext w:val="false"/>
        <w:spacing w:after="80"/>
      </w:pPr>
      <w:r>
        <w:rPr>
          <w:rFonts w:ascii="Arial" w:cs="Arial" w:eastAsia="Arial" w:hAnsi="Arial"/>
          <w:color w:val="111214"/>
          <w:sz w:val="20"/>
          <w:szCs w:val="20"/>
        </w:rPr>
        <w:t xml:space="preserve">Al trabajar en techos, estamos cerca de bordes abiertos, tragaluces y huecos de acceso mientras movemos herramientas y materiales. La protección correcta depende de la pendiente del techo y de la tarea. Antes de subir, sepan qué protección corresponde a su tarea.</w:t>
      </w:r>
    </w:p>
    <w:p>
      <w:pPr>
        <w:keepNext/>
        <w:spacing w:after="80" w:before="200"/>
      </w:pPr>
      <w:r>
        <w:rPr>
          <w:rFonts w:ascii="Arial" w:cs="Arial" w:eastAsia="Arial" w:hAnsi="Arial"/>
          <w:b/>
          <w:bCs/>
          <w:sz w:val="22"/>
          <w:szCs w:val="22"/>
        </w:rPr>
        <w:t xml:space="preserve">Usen la protección que corresponde al techo</w:t>
      </w:r>
    </w:p>
    <w:p>
      <w:pPr>
        <w:pStyle w:val="ListParagraph"/>
        <w:keepNext w:val="false"/>
        <w:numPr>
          <w:ilvl w:val="0"/>
          <w:numId w:val="1"/>
        </w:numPr>
        <w:spacing w:after="80"/>
      </w:pPr>
      <w:r>
        <w:rPr>
          <w:rFonts w:ascii="Arial" w:cs="Arial" w:eastAsia="Arial" w:hAnsi="Arial"/>
          <w:color w:val="111214"/>
          <w:sz w:val="20"/>
          <w:szCs w:val="20"/>
        </w:rPr>
        <w:t xml:space="preserve">Para trabajos en techos de poca pendiente con bordes sin protección a 6 pies o más sobre un nivel inferior, OSHA exige protección contra caídas. Confirmen el sistema previsto antes de empezar.</w:t>
      </w:r>
    </w:p>
    <w:p>
      <w:pPr>
        <w:pStyle w:val="ListParagraph"/>
        <w:keepNext w:val="false"/>
        <w:numPr>
          <w:ilvl w:val="0"/>
          <w:numId w:val="1"/>
        </w:numPr>
        <w:spacing w:after="80"/>
      </w:pPr>
      <w:r>
        <w:rPr>
          <w:rFonts w:ascii="Arial" w:cs="Arial" w:eastAsia="Arial" w:hAnsi="Arial"/>
          <w:color w:val="111214"/>
          <w:sz w:val="20"/>
          <w:szCs w:val="20"/>
        </w:rPr>
        <w:t xml:space="preserve">Las opciones incluyen barandales, redes de seguridad o un sistema personal de detención de caídas: un arnés y equipo de conexión que detiene una caída. No supongan que basta una línea de advertencia.</w:t>
      </w:r>
    </w:p>
    <w:p>
      <w:pPr>
        <w:pStyle w:val="ListParagraph"/>
        <w:keepNext w:val="false"/>
        <w:numPr>
          <w:ilvl w:val="0"/>
          <w:numId w:val="1"/>
        </w:numPr>
        <w:spacing w:after="80"/>
      </w:pPr>
      <w:r>
        <w:rPr>
          <w:rFonts w:ascii="Arial" w:cs="Arial" w:eastAsia="Arial" w:hAnsi="Arial"/>
          <w:color w:val="111214"/>
          <w:sz w:val="20"/>
          <w:szCs w:val="20"/>
        </w:rPr>
        <w:t xml:space="preserve">En techos de mucha pendiente a esa altura, usen barandales con rodapiés, redes de seguridad o sistemas personales de detención de caídas. Los rodapiés son barreras en la parte inferior del barandal.</w:t>
      </w:r>
    </w:p>
    <w:p>
      <w:pPr>
        <w:pStyle w:val="ListParagraph"/>
        <w:keepNext w:val="false"/>
        <w:numPr>
          <w:ilvl w:val="0"/>
          <w:numId w:val="1"/>
        </w:numPr>
        <w:spacing w:after="80"/>
      </w:pPr>
      <w:r>
        <w:rPr>
          <w:rFonts w:ascii="Arial" w:cs="Arial" w:eastAsia="Arial" w:hAnsi="Arial"/>
          <w:color w:val="111214"/>
          <w:sz w:val="20"/>
          <w:szCs w:val="20"/>
        </w:rPr>
        <w:t xml:space="preserve">Antes de recibir materiales, revisen la protección en el área de descarga. Si se quita un barandal para recibir una carga y tienen que inclinarse por la abertura o asomarse sobre su borde, se requiere un sistema personal de detención de caídas.</w:t>
      </w:r>
    </w:p>
    <w:p>
      <w:pPr>
        <w:keepNext/>
        <w:spacing w:after="80" w:before="200"/>
      </w:pPr>
      <w:r>
        <w:rPr>
          <w:rFonts w:ascii="Arial" w:cs="Arial" w:eastAsia="Arial" w:hAnsi="Arial"/>
          <w:b/>
          <w:bCs/>
          <w:sz w:val="22"/>
          <w:szCs w:val="22"/>
        </w:rPr>
        <w:t xml:space="preserve">Entiendan las líneas de advertencia y los monitores</w:t>
      </w:r>
    </w:p>
    <w:p>
      <w:pPr>
        <w:pStyle w:val="ListParagraph"/>
        <w:keepNext w:val="false"/>
        <w:numPr>
          <w:ilvl w:val="0"/>
          <w:numId w:val="1"/>
        </w:numPr>
        <w:spacing w:after="80"/>
      </w:pPr>
      <w:r>
        <w:rPr>
          <w:rFonts w:ascii="Arial" w:cs="Arial" w:eastAsia="Arial" w:hAnsi="Arial"/>
          <w:color w:val="111214"/>
          <w:sz w:val="20"/>
          <w:szCs w:val="20"/>
        </w:rPr>
        <w:t xml:space="preserve">Una línea de advertencia es una línea que se coloca en el techo para marcar el área cerca del borde. Para trabajos de techado de poca pendiente, la línea de advertencia debe combinarse con barandales, redes de seguridad, detención personal de caídas o un monitor de seguridad. Sepan qué combinación protege su área de trabajo.</w:t>
      </w:r>
    </w:p>
    <w:p>
      <w:pPr>
        <w:pStyle w:val="ListParagraph"/>
        <w:keepNext w:val="false"/>
        <w:numPr>
          <w:ilvl w:val="0"/>
          <w:numId w:val="1"/>
        </w:numPr>
        <w:spacing w:after="80"/>
      </w:pPr>
      <w:r>
        <w:rPr>
          <w:rFonts w:ascii="Arial" w:cs="Arial" w:eastAsia="Arial" w:hAnsi="Arial"/>
          <w:color w:val="111214"/>
          <w:sz w:val="20"/>
          <w:szCs w:val="20"/>
        </w:rPr>
        <w:t xml:space="preserve">Un monitor de seguridad es una persona asignada para vigilar a los techadores y advertirles de peligros de caída. Usar solamente un monitor, sin línea de advertencia, se permite solo en techos de poca pendiente de 50 pies de ancho o menos. Nunca usen esa opción en techos de mucha pendiente.</w:t>
      </w:r>
    </w:p>
    <w:p>
      <w:pPr>
        <w:pStyle w:val="ListParagraph"/>
        <w:keepNext w:val="false"/>
        <w:numPr>
          <w:ilvl w:val="0"/>
          <w:numId w:val="1"/>
        </w:numPr>
        <w:spacing w:after="80"/>
      </w:pPr>
      <w:r>
        <w:rPr>
          <w:rFonts w:ascii="Arial" w:cs="Arial" w:eastAsia="Arial" w:hAnsi="Arial"/>
          <w:color w:val="111214"/>
          <w:sz w:val="20"/>
          <w:szCs w:val="20"/>
        </w:rPr>
        <w:t xml:space="preserve">El monitor debe advertir a quienes parezcan no reconocer un peligro de caída o actúen de manera insegura. Respondan a la advertencia de inmediato; deténganse y aclaren cualquier cosa que no entiendan.</w:t>
      </w:r>
    </w:p>
    <w:p>
      <w:pPr>
        <w:pStyle w:val="ListParagraph"/>
        <w:keepNext w:val="false"/>
        <w:numPr>
          <w:ilvl w:val="0"/>
          <w:numId w:val="1"/>
        </w:numPr>
        <w:spacing w:after="80"/>
      </w:pPr>
      <w:r>
        <w:rPr>
          <w:rFonts w:ascii="Arial" w:cs="Arial" w:eastAsia="Arial" w:hAnsi="Arial"/>
          <w:color w:val="111214"/>
          <w:sz w:val="20"/>
          <w:szCs w:val="20"/>
        </w:rPr>
        <w:t xml:space="preserve">No usen ni almacenen equipo mecánico en áreas de techado bajo monitoreo. Solo los techadores, o trabajadores cubiertos por un plan de protección contra caídas, pueden estar en un área protegida por un monitor de seguridad.</w:t>
      </w:r>
    </w:p>
    <w:p>
      <w:pPr>
        <w:keepNext/>
        <w:spacing w:after="80" w:before="200"/>
      </w:pPr>
      <w:r>
        <w:rPr>
          <w:rFonts w:ascii="Arial" w:cs="Arial" w:eastAsia="Arial" w:hAnsi="Arial"/>
          <w:b/>
          <w:bCs/>
          <w:sz w:val="22"/>
          <w:szCs w:val="22"/>
        </w:rPr>
        <w:t xml:space="preserve">Protejan los huecos y reporten cambios</w:t>
      </w:r>
    </w:p>
    <w:p>
      <w:pPr>
        <w:pStyle w:val="ListParagraph"/>
        <w:keepNext w:val="false"/>
        <w:numPr>
          <w:ilvl w:val="0"/>
          <w:numId w:val="1"/>
        </w:numPr>
        <w:spacing w:after="80"/>
      </w:pPr>
      <w:r>
        <w:rPr>
          <w:rFonts w:ascii="Arial" w:cs="Arial" w:eastAsia="Arial" w:hAnsi="Arial"/>
          <w:color w:val="111214"/>
          <w:sz w:val="20"/>
          <w:szCs w:val="20"/>
        </w:rPr>
        <w:t xml:space="preserve">Los huecos, incluidos los tragaluces, a más de 6 pies sobre niveles inferiores requieren tapas, barandales alrededor o detención personal de caídas. No supongan que un tragaluz puede sostenerlos.</w:t>
      </w:r>
    </w:p>
    <w:p>
      <w:pPr>
        <w:pStyle w:val="ListParagraph"/>
        <w:keepNext w:val="false"/>
        <w:numPr>
          <w:ilvl w:val="0"/>
          <w:numId w:val="1"/>
        </w:numPr>
        <w:spacing w:after="80"/>
      </w:pPr>
      <w:r>
        <w:rPr>
          <w:rFonts w:ascii="Arial" w:cs="Arial" w:eastAsia="Arial" w:hAnsi="Arial"/>
          <w:color w:val="111214"/>
          <w:sz w:val="20"/>
          <w:szCs w:val="20"/>
        </w:rPr>
        <w:t xml:space="preserve">Los barandales alrededor de huecos deben proteger cada lado abierto. Los huecos de acceso por escalera necesitan una puerta, o un barandal desplazado de modo que nadie pueda caminar directamente hacia el hueco.</w:t>
      </w:r>
    </w:p>
    <w:p>
      <w:pPr>
        <w:pStyle w:val="ListParagraph"/>
        <w:keepNext w:val="false"/>
        <w:numPr>
          <w:ilvl w:val="0"/>
          <w:numId w:val="1"/>
        </w:numPr>
        <w:spacing w:after="80"/>
      </w:pPr>
      <w:r>
        <w:rPr>
          <w:rFonts w:ascii="Arial" w:cs="Arial" w:eastAsia="Arial" w:hAnsi="Arial"/>
          <w:color w:val="111214"/>
          <w:sz w:val="20"/>
          <w:szCs w:val="20"/>
        </w:rPr>
        <w:t xml:space="preserve">Cuando no se use una abertura para materiales, tápenla o repongan los barandales en cada lado abierto. Deténganse y reporten la protección faltante antes de continuar trabajando cerca.</w:t>
      </w:r>
    </w:p>
    <w:p>
      <w:pPr>
        <w:pStyle w:val="ListParagraph"/>
        <w:keepNext w:val="false"/>
        <w:numPr>
          <w:ilvl w:val="0"/>
          <w:numId w:val="1"/>
        </w:numPr>
        <w:spacing w:after="80"/>
      </w:pPr>
      <w:r>
        <w:rPr>
          <w:rFonts w:ascii="Arial" w:cs="Arial" w:eastAsia="Arial" w:hAnsi="Arial"/>
          <w:color w:val="111214"/>
          <w:sz w:val="20"/>
          <w:szCs w:val="20"/>
        </w:rPr>
        <w:t xml:space="preserve">Retiren de servicio de inmediato el equipo de detención de caídas después de que reciba el impacto de una caída. No puede volver a usarse hasta que una persona competente lo inspeccione y determine que no está dañado y que sirve para volver a usarse.</w:t>
      </w:r>
    </w:p>
    <w:p>
      <w:pPr>
        <w:keepNext/>
        <w:spacing w:after="80" w:before="200"/>
      </w:pPr>
      <w:r>
        <w:rPr>
          <w:rFonts w:ascii="Arial" w:cs="Arial" w:eastAsia="Arial" w:hAnsi="Arial"/>
          <w:b/>
          <w:bCs/>
          <w:sz w:val="22"/>
          <w:szCs w:val="22"/>
        </w:rPr>
        <w:t xml:space="preserve">¿Qué haría usted?</w:t>
      </w:r>
    </w:p>
    <w:p>
      <w:pPr>
        <w:keepNext w:val="false"/>
        <w:spacing w:after="80"/>
      </w:pPr>
      <w:r>
        <w:rPr>
          <w:rFonts w:ascii="Arial" w:cs="Arial" w:eastAsia="Arial" w:hAnsi="Arial"/>
          <w:color w:val="111214"/>
          <w:sz w:val="20"/>
          <w:szCs w:val="20"/>
        </w:rPr>
        <w:t xml:space="preserve">Llegan a entregar materiales en un techo de poca pendiente. Un monitor vigila a los techadores y falta un barandal junto a la abertura para materiales. Alguien les hace señas para avanzar. ¿Qué detendrían y confirmarían antes de entrar o descargar?</w:t>
      </w:r>
    </w:p>
    <w:p>
      <w:pPr>
        <w:keepNext/>
        <w:spacing w:after="80" w:before="200"/>
      </w:pPr>
      <w:r>
        <w:rPr>
          <w:rFonts w:ascii="Arial" w:cs="Arial" w:eastAsia="Arial" w:hAnsi="Arial"/>
          <w:b/>
          <w:bCs/>
          <w:sz w:val="22"/>
          <w:szCs w:val="22"/>
        </w:rPr>
        <w:t xml:space="preserve">Preguntas para el equipo</w:t>
      </w:r>
    </w:p>
    <w:p>
      <w:pPr>
        <w:keepNext w:val="false"/>
        <w:spacing w:after="80"/>
      </w:pPr>
      <w:r>
        <w:rPr>
          <w:rFonts w:ascii="Arial" w:cs="Arial" w:eastAsia="Arial" w:hAnsi="Arial"/>
          <w:color w:val="111214"/>
          <w:sz w:val="20"/>
          <w:szCs w:val="20"/>
        </w:rPr>
        <w:t xml:space="preserve">1. ¿Basta una línea de advertencia?</w:t>
      </w:r>
    </w:p>
    <w:p>
      <w:pPr>
        <w:keepNext w:val="false"/>
        <w:spacing w:after="80"/>
      </w:pPr>
      <w:r>
        <w:rPr>
          <w:rFonts w:ascii="Arial" w:cs="Arial" w:eastAsia="Arial" w:hAnsi="Arial"/>
          <w:color w:val="111214"/>
          <w:sz w:val="20"/>
          <w:szCs w:val="20"/>
        </w:rPr>
        <w:t xml:space="preserve">2. ¿Qué protección corresponde en un techo de mucha pendiente?</w:t>
      </w:r>
    </w:p>
    <w:p>
      <w:pPr>
        <w:keepNext w:val="false"/>
        <w:spacing w:after="80"/>
      </w:pPr>
      <w:r>
        <w:rPr>
          <w:rFonts w:ascii="Arial" w:cs="Arial" w:eastAsia="Arial" w:hAnsi="Arial"/>
          <w:color w:val="111214"/>
          <w:sz w:val="20"/>
          <w:szCs w:val="20"/>
        </w:rPr>
        <w:t xml:space="preserve">3. ¿Quién puede entrar en un área de techado bajo monitoreo?</w:t>
      </w:r>
    </w:p>
    <w:p>
      <w:pPr>
        <w:keepNext w:val="false"/>
        <w:spacing w:after="80"/>
      </w:pPr>
      <w:r>
        <w:rPr>
          <w:rFonts w:ascii="Arial" w:cs="Arial" w:eastAsia="Arial" w:hAnsi="Arial"/>
          <w:color w:val="111214"/>
          <w:sz w:val="20"/>
          <w:szCs w:val="20"/>
        </w:rPr>
        <w:t xml:space="preserve">4. ¿Qué debe hacerse cuando una abertura para materiales deja de usarse?</w:t>
      </w:r>
    </w:p>
    <w:p>
      <w:pPr>
        <w:spacing w:before="120"/>
      </w:pPr>
    </w:p>
    <w:p>
      <w:pPr>
        <w:keepNext w:val="false"/>
        <w:spacing w:after="80"/>
      </w:pPr>
      <w:r>
        <w:rPr>
          <w:rFonts w:ascii="Arial" w:cs="Arial" w:eastAsia="Arial" w:hAnsi="Arial"/>
          <w:b/>
          <w:bCs/>
          <w:color w:val="111214"/>
          <w:sz w:val="20"/>
          <w:szCs w:val="20"/>
        </w:rPr>
        <w:t xml:space="preserve">Confirmen la protección del techo, respeten las áreas bajo monitoreo y deténganse cuando un borde o hueco quede sin protección.</w:t>
      </w:r>
    </w:p>
    <w:p>
      <w:pPr>
        <w:spacing w:before="200"/>
      </w:pPr>
      <w:r>
        <w:rPr>
          <w:rFonts w:ascii="Arial" w:cs="Arial" w:eastAsia="Arial" w:hAnsi="Arial"/>
          <w:color w:val="5F636B"/>
          <w:sz w:val="15"/>
          <w:szCs w:val="15"/>
        </w:rPr>
        <w:t xml:space="preserve">Fuentes: </w:t>
      </w:r>
      <w:hyperlink w:history="1" r:id="rIdkxoguuw3rykg-xuzo-_zv">
        <w:r>
          <w:rPr>
            <w:rFonts w:ascii="Arial" w:cs="Arial" w:eastAsia="Arial" w:hAnsi="Arial"/>
            <w:color w:val="1F5FAD"/>
            <w:sz w:val="15"/>
            <w:szCs w:val="15"/>
            <w:u w:val="single"/>
          </w:rPr>
          <w:t xml:space="preserve">29 CFR 1926.501, Duty to have fall protection</w:t>
        </w:r>
      </w:hyperlink>
      <w:r>
        <w:rPr>
          <w:rFonts w:ascii="Arial" w:cs="Arial" w:eastAsia="Arial" w:hAnsi="Arial"/>
          <w:color w:val="5F636B"/>
          <w:sz w:val="15"/>
          <w:szCs w:val="15"/>
        </w:rPr>
        <w:t xml:space="preserve">; </w:t>
      </w:r>
      <w:hyperlink w:history="1" r:id="rIdmotk6qw_e_w5x1yw76qpp">
        <w:r>
          <w:rPr>
            <w:rFonts w:ascii="Arial" w:cs="Arial" w:eastAsia="Arial" w:hAnsi="Arial"/>
            <w:color w:val="1F5FAD"/>
            <w:sz w:val="15"/>
            <w:szCs w:val="15"/>
            <w:u w:val="single"/>
          </w:rPr>
          <w:t xml:space="preserve">29 CFR 1926.502, Fall protection systems criteria and practices</w:t>
        </w:r>
      </w:hyperlink>
    </w:p>
    <w:p>
      <w:pPr>
        <w:spacing w:before="60"/>
      </w:pPr>
      <w:r>
        <w:rPr>
          <w:rFonts w:ascii="Arial" w:cs="Arial" w:eastAsia="Arial" w:hAnsi="Arial"/>
          <w:color w:val="5F636B"/>
          <w:sz w:val="15"/>
          <w:szCs w:val="15"/>
        </w:rPr>
        <w:t xml:space="preserve">Borrador redactado con IA para revisión por una persona competente. Clever Rook redacta a partir del texto oficial de las normas que cita, pero no conoce su obra. Compárelo con sus condiciones y el programa de seguridad de su empresa antes de usarlo. No es asesoría legal.</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HOJA DE ASISTENCIA</w:t>
      </w:r>
    </w:p>
    <w:p>
      <w:pPr>
        <w:spacing w:after="60"/>
      </w:pPr>
      <w:r>
        <w:rPr>
          <w:rFonts w:ascii="Arial" w:cs="Arial" w:eastAsia="Arial" w:hAnsi="Arial"/>
          <w:b/>
          <w:bCs/>
          <w:sz w:val="26"/>
          <w:szCs w:val="26"/>
        </w:rPr>
        <w:t xml:space="preserve">Bordes de techo, líneas de advertencia y huecos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Fecha de revisión</w:t>
            </w:r>
          </w:p>
        </w:tc>
      </w:tr>
    </w:tbl>
    <w:p>
      <w:pPr>
        <w:spacing w:after="120" w:before="120"/>
      </w:pPr>
      <w:r>
        <w:rPr>
          <w:rFonts w:ascii="Arial" w:cs="Arial" w:eastAsia="Arial" w:hAnsi="Arial"/>
          <w:color w:val="5F636B"/>
          <w:sz w:val="16"/>
          <w:szCs w:val="16"/>
        </w:rPr>
        <w:t xml:space="preserve">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oxxqwovyeop2u7wrx5qql">
      <w:r>
        <w:rPr>
          <w:rFonts w:ascii="Arial" w:cs="Arial" w:eastAsia="Arial" w:hAnsi="Arial"/>
          <w:color w:val="5F636B"/>
          <w:sz w:val="14"/>
          <w:szCs w:val="14"/>
        </w:rPr>
        <w:t xml:space="preserve">escriba la suya gratis, en inglés y español: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Hecho con Clever Rook · </w:t>
    </w:r>
    <w:hyperlink w:history="1" r:id="rIdebypd9z39zffqw4gfpeun">
      <w:r>
        <w:rPr>
          <w:rFonts w:ascii="Arial" w:cs="Arial" w:eastAsia="Arial" w:hAnsi="Arial"/>
          <w:color w:val="5F636B"/>
          <w:sz w:val="14"/>
          <w:szCs w:val="14"/>
        </w:rPr>
        <w:t xml:space="preserve">escriba la suya gratis, en inglés y español: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kxoguuw3rykg-xuzo-_zv" Type="http://schemas.openxmlformats.org/officeDocument/2006/relationships/hyperlink" Target="https://www.ecfr.gov/current/title-29/section-1926.501" TargetMode="External"/><Relationship Id="rIdmotk6qw_e_w5x1yw76qpp" Type="http://schemas.openxmlformats.org/officeDocument/2006/relationships/hyperlink" Target="https://www.ecfr.gov/current/title-29/section-1926.5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xqwovyeop2u7wrx5qql"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ebypd9z39zffqw4gfpeun"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Edges, Warning Lines, and Holes</dc:title>
  <dc:creator>Clever Rook</dc:creator>
  <cp:lastModifiedBy>Un-named</cp:lastModifiedBy>
  <cp:revision>1</cp:revision>
  <dcterms:created xsi:type="dcterms:W3CDTF">2026-10-31T17:11:09.922Z</dcterms:created>
  <dcterms:modified xsi:type="dcterms:W3CDTF">2026-10-31T17:11:09.922Z</dcterms:modified>
</cp:coreProperties>
</file>

<file path=docProps/custom.xml><?xml version="1.0" encoding="utf-8"?>
<Properties xmlns="http://schemas.openxmlformats.org/officeDocument/2006/custom-properties" xmlns:vt="http://schemas.openxmlformats.org/officeDocument/2006/docPropsVTypes"/>
</file>