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CHARLA DE SEGURIDAD</w:t>
      </w:r>
    </w:p>
    <w:p>
      <w:pPr>
        <w:spacing w:after="60"/>
      </w:pPr>
      <w:r>
        <w:rPr>
          <w:rFonts w:ascii="Arial" w:cs="Arial" w:eastAsia="Arial" w:hAnsi="Arial"/>
          <w:b/>
          <w:bCs/>
          <w:sz w:val="32"/>
          <w:szCs w:val="32"/>
        </w:rPr>
        <w:t xml:space="preserve">Radio de giro de grúas: manténganse fuera</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Presentada por</w:t>
            </w:r>
          </w:p>
        </w:tc>
      </w:tr>
    </w:tbl>
    <w:p>
      <w:pPr>
        <w:spacing w:after="80"/>
      </w:pPr>
    </w:p>
    <w:p>
      <w:pPr>
        <w:keepNext w:val="false"/>
        <w:spacing w:after="80"/>
      </w:pPr>
      <w:r>
        <w:rPr>
          <w:rFonts w:ascii="Arial" w:cs="Arial" w:eastAsia="Arial" w:hAnsi="Arial"/>
          <w:color w:val="111214"/>
          <w:sz w:val="20"/>
          <w:szCs w:val="20"/>
        </w:rPr>
        <w:t xml:space="preserve">Cuando una grúa gira, su parte superior y su contrapeso pueden golpear a alguien o aplastarlo contra equipos, materiales o una pared. Las cuadrillas cercanas pueden concentrarse en la carga sin ver lo que se mueve detrás del operador. Las barreras y la comunicación clara ayudan a evitar lesiones por aplastamiento durante tareas rutinarias.</w:t>
      </w:r>
    </w:p>
    <w:p>
      <w:pPr>
        <w:keepNext/>
        <w:spacing w:after="80" w:before="200"/>
      </w:pPr>
      <w:r>
        <w:rPr>
          <w:rFonts w:ascii="Arial" w:cs="Arial" w:eastAsia="Arial" w:hAnsi="Arial"/>
          <w:b/>
          <w:bCs/>
          <w:sz w:val="22"/>
          <w:szCs w:val="22"/>
        </w:rPr>
        <w:t xml:space="preserve">Reconozcan toda la zona de peligro</w:t>
      </w:r>
    </w:p>
    <w:p>
      <w:pPr>
        <w:pStyle w:val="ListParagraph"/>
        <w:keepNext w:val="false"/>
        <w:numPr>
          <w:ilvl w:val="0"/>
          <w:numId w:val="1"/>
        </w:numPr>
        <w:spacing w:after="80"/>
      </w:pPr>
      <w:r>
        <w:rPr>
          <w:rFonts w:ascii="Arial" w:cs="Arial" w:eastAsia="Arial" w:hAnsi="Arial"/>
          <w:color w:val="111214"/>
          <w:sz w:val="20"/>
          <w:szCs w:val="20"/>
        </w:rPr>
        <w:t xml:space="preserve">Miren más allá del gancho y la carga. La parte superior que gira puede invadir un paso peatonal o atrapar a alguien entre la grúa y un objeto cercano, aunque la carga esté en otro lugar.</w:t>
      </w:r>
    </w:p>
    <w:p>
      <w:pPr>
        <w:pStyle w:val="ListParagraph"/>
        <w:keepNext w:val="false"/>
        <w:numPr>
          <w:ilvl w:val="0"/>
          <w:numId w:val="1"/>
        </w:numPr>
        <w:spacing w:after="80"/>
      </w:pPr>
      <w:r>
        <w:rPr>
          <w:rFonts w:ascii="Arial" w:cs="Arial" w:eastAsia="Arial" w:hAnsi="Arial"/>
          <w:color w:val="111214"/>
          <w:sz w:val="20"/>
          <w:szCs w:val="20"/>
        </w:rPr>
        <w:t xml:space="preserve">Antes de trabajar cerca de la grúa, identifiquen dónde sus partes móviles podrían golpearlos o aplastarlos. OSHA exige que el empleador capacite a los trabajadores asignados para reconocer estas zonas; pregunten al capataz si tienen dudas.</w:t>
      </w:r>
    </w:p>
    <w:p>
      <w:pPr>
        <w:pStyle w:val="ListParagraph"/>
        <w:keepNext w:val="false"/>
        <w:numPr>
          <w:ilvl w:val="0"/>
          <w:numId w:val="1"/>
        </w:numPr>
        <w:spacing w:after="80"/>
      </w:pPr>
      <w:r>
        <w:rPr>
          <w:rFonts w:ascii="Arial" w:cs="Arial" w:eastAsia="Arial" w:hAnsi="Arial"/>
          <w:color w:val="111214"/>
          <w:sz w:val="20"/>
          <w:szCs w:val="20"/>
        </w:rPr>
        <w:t xml:space="preserve">Planeen las rutas peatonales, el almacenamiento de materiales y la limpieza fuera de la zona de peligro marcada. Que una grúa esté detenida no significa que puedan cruzar, recoger una herramienta o pararse detrás del contrapeso.</w:t>
      </w:r>
    </w:p>
    <w:p>
      <w:pPr>
        <w:keepNext/>
        <w:spacing w:after="80" w:before="200"/>
      </w:pPr>
      <w:r>
        <w:rPr>
          <w:rFonts w:ascii="Arial" w:cs="Arial" w:eastAsia="Arial" w:hAnsi="Arial"/>
          <w:b/>
          <w:bCs/>
          <w:sz w:val="22"/>
          <w:szCs w:val="22"/>
        </w:rPr>
        <w:t xml:space="preserve">Coloquen y mantengan las barreras</w:t>
      </w:r>
    </w:p>
    <w:p>
      <w:pPr>
        <w:pStyle w:val="ListParagraph"/>
        <w:keepNext w:val="false"/>
        <w:numPr>
          <w:ilvl w:val="0"/>
          <w:numId w:val="1"/>
        </w:numPr>
        <w:spacing w:after="80"/>
      </w:pPr>
      <w:r>
        <w:rPr>
          <w:rFonts w:ascii="Arial" w:cs="Arial" w:eastAsia="Arial" w:hAnsi="Arial"/>
          <w:color w:val="111214"/>
          <w:sz w:val="20"/>
          <w:szCs w:val="20"/>
        </w:rPr>
        <w:t xml:space="preserve">En la mayoría de los casos, el empleador debe colocar y mantener líneas de control, líneas de advertencia, barandales o barreras similares para marcar el borde de la zona de peligro. Revisen que el límite muestre claramente dónde no se debe entrar, incluidos los pasos que usan otros oficios.</w:t>
      </w:r>
    </w:p>
    <w:p>
      <w:pPr>
        <w:pStyle w:val="ListParagraph"/>
        <w:keepNext w:val="false"/>
        <w:numPr>
          <w:ilvl w:val="0"/>
          <w:numId w:val="1"/>
        </w:numPr>
        <w:spacing w:after="80"/>
      </w:pPr>
      <w:r>
        <w:rPr>
          <w:rFonts w:ascii="Arial" w:cs="Arial" w:eastAsia="Arial" w:hAnsi="Arial"/>
          <w:color w:val="111214"/>
          <w:sz w:val="20"/>
          <w:szCs w:val="20"/>
        </w:rPr>
        <w:t xml:space="preserve">Reporten las barreras faltantes, caídas o movidas antes de continuar trabajando cerca. No muevan una línea para facilitar una entrega; detengan la tarea afectada y hagan que se restablezca la barrera o se cambie la ruta.</w:t>
      </w:r>
    </w:p>
    <w:p>
      <w:pPr>
        <w:pStyle w:val="ListParagraph"/>
        <w:keepNext w:val="false"/>
        <w:numPr>
          <w:ilvl w:val="0"/>
          <w:numId w:val="1"/>
        </w:numPr>
        <w:spacing w:after="80"/>
      </w:pPr>
      <w:r>
        <w:rPr>
          <w:rFonts w:ascii="Arial" w:cs="Arial" w:eastAsia="Arial" w:hAnsi="Arial"/>
          <w:color w:val="111214"/>
          <w:sz w:val="20"/>
          <w:szCs w:val="20"/>
        </w:rPr>
        <w:t xml:space="preserve">Los letreros solos no reemplazan las barreras. Solo si el empleador puede demostrar que no se pueden colocar barreras en el suelo ni en la grúa, puede marcar la zona con letreros de advertencia, como "Peligro, zona de giro y aplastamiento", junto con marcas de alta visibilidad en la grúa. En ese caso, el empleador debe capacitar a cada trabajador sobre el significado de esas marcas.</w:t>
      </w:r>
    </w:p>
    <w:p>
      <w:pPr>
        <w:keepNext/>
        <w:spacing w:after="80" w:before="200"/>
      </w:pPr>
      <w:r>
        <w:rPr>
          <w:rFonts w:ascii="Arial" w:cs="Arial" w:eastAsia="Arial" w:hAnsi="Arial"/>
          <w:b/>
          <w:bCs/>
          <w:sz w:val="22"/>
          <w:szCs w:val="22"/>
        </w:rPr>
        <w:t xml:space="preserve">Comuníquense antes de que alguien entre</w:t>
      </w:r>
    </w:p>
    <w:p>
      <w:pPr>
        <w:pStyle w:val="ListParagraph"/>
        <w:keepNext w:val="false"/>
        <w:numPr>
          <w:ilvl w:val="0"/>
          <w:numId w:val="1"/>
        </w:numPr>
        <w:spacing w:after="80"/>
      </w:pPr>
      <w:r>
        <w:rPr>
          <w:rFonts w:ascii="Arial" w:cs="Arial" w:eastAsia="Arial" w:hAnsi="Arial"/>
          <w:color w:val="111214"/>
          <w:sz w:val="20"/>
          <w:szCs w:val="20"/>
        </w:rPr>
        <w:t xml:space="preserve">Antes de entrar a un lugar peligroso que el operador no pueda ver, ustedes o alguien a quien se lo encarguen deben asegurarse de avisarle al operador. No supongan que estar cerca, saludar con la mano o llevar ropa llamativa significa que el operador conoce su ubicación.</w:t>
      </w:r>
    </w:p>
    <w:p>
      <w:pPr>
        <w:pStyle w:val="ListParagraph"/>
        <w:keepNext w:val="false"/>
        <w:numPr>
          <w:ilvl w:val="0"/>
          <w:numId w:val="1"/>
        </w:numPr>
        <w:spacing w:after="80"/>
      </w:pPr>
      <w:r>
        <w:rPr>
          <w:rFonts w:ascii="Arial" w:cs="Arial" w:eastAsia="Arial" w:hAnsi="Arial"/>
          <w:color w:val="111214"/>
          <w:sz w:val="20"/>
          <w:szCs w:val="20"/>
        </w:rPr>
        <w:t xml:space="preserve">Usen un sistema de comunicación acordado de antemano. Una vez que el operador sepa que alguien entró a la zona de peligro, no debe girar hasta que ese sistema confirme que la persona está en una posición segura.</w:t>
      </w:r>
    </w:p>
    <w:p>
      <w:pPr>
        <w:pStyle w:val="ListParagraph"/>
        <w:keepNext w:val="false"/>
        <w:numPr>
          <w:ilvl w:val="0"/>
          <w:numId w:val="1"/>
        </w:numPr>
        <w:spacing w:after="80"/>
      </w:pPr>
      <w:r>
        <w:rPr>
          <w:rFonts w:ascii="Arial" w:cs="Arial" w:eastAsia="Arial" w:hAnsi="Arial"/>
          <w:color w:val="111214"/>
          <w:sz w:val="20"/>
          <w:szCs w:val="20"/>
        </w:rPr>
        <w:t xml:space="preserve">Cuando una parte de una grúa está dentro del radio de trabajo de otra, se requiere un sistema para coordinarlas. Lo establece el contratista a cargo de la obra, o los empleadores que operan las grúas si nadie está a cargo. Pregunten al capataz cómo funciona antes de comenzar tareas cercanas; no supongan que los operadores ya lo resolvieron.</w:t>
      </w:r>
    </w:p>
    <w:p>
      <w:pPr>
        <w:keepNext/>
        <w:spacing w:after="80" w:before="200"/>
      </w:pPr>
      <w:r>
        <w:rPr>
          <w:rFonts w:ascii="Arial" w:cs="Arial" w:eastAsia="Arial" w:hAnsi="Arial"/>
          <w:b/>
          <w:bCs/>
          <w:sz w:val="22"/>
          <w:szCs w:val="22"/>
        </w:rPr>
        <w:t xml:space="preserve">¿Qué haría usted?</w:t>
      </w:r>
    </w:p>
    <w:p>
      <w:pPr>
        <w:keepNext w:val="false"/>
        <w:spacing w:after="80"/>
      </w:pPr>
      <w:r>
        <w:rPr>
          <w:rFonts w:ascii="Arial" w:cs="Arial" w:eastAsia="Arial" w:hAnsi="Arial"/>
          <w:color w:val="111214"/>
          <w:sz w:val="20"/>
          <w:szCs w:val="20"/>
        </w:rPr>
        <w:t xml:space="preserve">Están moviendo suministros y encuentran una línea de advertencia caída detrás de una grúa. Una herramienta que necesitan está dentro del límite, donde el operador no puede verlos. Un compañero dice que la grúa está detenida, así que pueden recogerla rápido. ¿Qué detendrían, reportarían y coordinarían antes de que alguien entre?</w:t>
      </w:r>
    </w:p>
    <w:p>
      <w:pPr>
        <w:keepNext/>
        <w:spacing w:after="80" w:before="200"/>
      </w:pPr>
      <w:r>
        <w:rPr>
          <w:rFonts w:ascii="Arial" w:cs="Arial" w:eastAsia="Arial" w:hAnsi="Arial"/>
          <w:b/>
          <w:bCs/>
          <w:sz w:val="22"/>
          <w:szCs w:val="22"/>
        </w:rPr>
        <w:t xml:space="preserve">Preguntas para el equipo</w:t>
      </w:r>
    </w:p>
    <w:p>
      <w:pPr>
        <w:keepNext w:val="false"/>
        <w:spacing w:after="80"/>
      </w:pPr>
      <w:r>
        <w:rPr>
          <w:rFonts w:ascii="Arial" w:cs="Arial" w:eastAsia="Arial" w:hAnsi="Arial"/>
          <w:color w:val="111214"/>
          <w:sz w:val="20"/>
          <w:szCs w:val="20"/>
        </w:rPr>
        <w:t xml:space="preserve">1. ¿Dónde podría la parte superior de la grúa golpear o atrapar a alguien?</w:t>
      </w:r>
    </w:p>
    <w:p>
      <w:pPr>
        <w:keepNext w:val="false"/>
        <w:spacing w:after="80"/>
      </w:pPr>
      <w:r>
        <w:rPr>
          <w:rFonts w:ascii="Arial" w:cs="Arial" w:eastAsia="Arial" w:hAnsi="Arial"/>
          <w:color w:val="111214"/>
          <w:sz w:val="20"/>
          <w:szCs w:val="20"/>
        </w:rPr>
        <w:t xml:space="preserve">2. ¿Qué deben hacer si una barrera está caída?</w:t>
      </w:r>
    </w:p>
    <w:p>
      <w:pPr>
        <w:keepNext w:val="false"/>
        <w:spacing w:after="80"/>
      </w:pPr>
      <w:r>
        <w:rPr>
          <w:rFonts w:ascii="Arial" w:cs="Arial" w:eastAsia="Arial" w:hAnsi="Arial"/>
          <w:color w:val="111214"/>
          <w:sz w:val="20"/>
          <w:szCs w:val="20"/>
        </w:rPr>
        <w:t xml:space="preserve">3. ¿A quién deben avisar antes de entrar a un lugar peligroso fuera de vista?</w:t>
      </w:r>
    </w:p>
    <w:p>
      <w:pPr>
        <w:keepNext w:val="false"/>
        <w:spacing w:after="80"/>
      </w:pPr>
      <w:r>
        <w:rPr>
          <w:rFonts w:ascii="Arial" w:cs="Arial" w:eastAsia="Arial" w:hAnsi="Arial"/>
          <w:color w:val="111214"/>
          <w:sz w:val="20"/>
          <w:szCs w:val="20"/>
        </w:rPr>
        <w:t xml:space="preserve">4. ¿Qué confirmación necesita el operador antes de volver a girar?</w:t>
      </w:r>
    </w:p>
    <w:p>
      <w:pPr>
        <w:spacing w:before="120"/>
      </w:pPr>
    </w:p>
    <w:p>
      <w:pPr>
        <w:keepNext w:val="false"/>
        <w:spacing w:after="80"/>
      </w:pPr>
      <w:r>
        <w:rPr>
          <w:rFonts w:ascii="Arial" w:cs="Arial" w:eastAsia="Arial" w:hAnsi="Arial"/>
          <w:b/>
          <w:bCs/>
          <w:color w:val="111214"/>
          <w:sz w:val="20"/>
          <w:szCs w:val="20"/>
        </w:rPr>
        <w:t xml:space="preserve">Manténganse fuera del límite de giro, cuiden las barreras y nunca vayan a donde el operador no pueda verlos sin asegurarse de que el operador lo sepa.</w:t>
      </w:r>
    </w:p>
    <w:p>
      <w:pPr>
        <w:spacing w:before="200"/>
      </w:pPr>
      <w:r>
        <w:rPr>
          <w:rFonts w:ascii="Arial" w:cs="Arial" w:eastAsia="Arial" w:hAnsi="Arial"/>
          <w:color w:val="5F636B"/>
          <w:sz w:val="15"/>
          <w:szCs w:val="15"/>
        </w:rPr>
        <w:t xml:space="preserve">Fuentes: </w:t>
      </w:r>
      <w:hyperlink w:history="1" r:id="rIdqh-t3skw1jrdia56ptyko">
        <w:r>
          <w:rPr>
            <w:rFonts w:ascii="Arial" w:cs="Arial" w:eastAsia="Arial" w:hAnsi="Arial"/>
            <w:color w:val="1F5FAD"/>
            <w:sz w:val="15"/>
            <w:szCs w:val="15"/>
            <w:u w:val="single"/>
          </w:rPr>
          <w:t xml:space="preserve">29 CFR 1926.1424, Work area control</w:t>
        </w:r>
      </w:hyperlink>
    </w:p>
    <w:p>
      <w:pPr>
        <w:spacing w:before="60"/>
      </w:pPr>
      <w:r>
        <w:rPr>
          <w:rFonts w:ascii="Arial" w:cs="Arial" w:eastAsia="Arial" w:hAnsi="Arial"/>
          <w:color w:val="5F636B"/>
          <w:sz w:val="15"/>
          <w:szCs w:val="15"/>
        </w:rPr>
        <w:t xml:space="preserve">Borrador redactado con IA para revisión por una persona competente. Clever Rook redacta a partir del texto oficial de las normas que cita, pero no conoce su obra. Compárelo con sus condiciones y el programa de seguridad de su empresa antes de usarlo. No es asesoría legal.</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HOJA DE ASISTENCIA</w:t>
      </w:r>
    </w:p>
    <w:p>
      <w:pPr>
        <w:spacing w:after="60"/>
      </w:pPr>
      <w:r>
        <w:rPr>
          <w:rFonts w:ascii="Arial" w:cs="Arial" w:eastAsia="Arial" w:hAnsi="Arial"/>
          <w:b/>
          <w:bCs/>
          <w:sz w:val="26"/>
          <w:szCs w:val="26"/>
        </w:rPr>
        <w:t xml:space="preserve">Radio de giro de grúas: manténganse fuera</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 de revisión</w:t>
            </w:r>
          </w:p>
        </w:tc>
      </w:tr>
    </w:tbl>
    <w:p>
      <w:pPr>
        <w:spacing w:after="120" w:before="120"/>
      </w:pPr>
      <w:r>
        <w:rPr>
          <w:rFonts w:ascii="Arial" w:cs="Arial" w:eastAsia="Arial" w:hAnsi="Arial"/>
          <w:color w:val="5F636B"/>
          <w:sz w:val="16"/>
          <w:szCs w:val="16"/>
        </w:rPr>
        <w:t xml:space="preserve">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i0n2fkbgmkpsdqvebaog3">
      <w:r>
        <w:rPr>
          <w:rFonts w:ascii="Arial" w:cs="Arial" w:eastAsia="Arial" w:hAnsi="Arial"/>
          <w:color w:val="5F636B"/>
          <w:sz w:val="14"/>
          <w:szCs w:val="14"/>
        </w:rPr>
        <w:t xml:space="preserve">escriba la suya gratis, en inglés y español: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o8mgrzufgxk4kzlen64p6">
      <w:r>
        <w:rPr>
          <w:rFonts w:ascii="Arial" w:cs="Arial" w:eastAsia="Arial" w:hAnsi="Arial"/>
          <w:color w:val="5F636B"/>
          <w:sz w:val="14"/>
          <w:szCs w:val="14"/>
        </w:rPr>
        <w:t xml:space="preserve">escriba la suya gratis, en inglés y español: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qh-t3skw1jrdia56ptyko" Type="http://schemas.openxmlformats.org/officeDocument/2006/relationships/hyperlink" Target="https://www.ecfr.gov/current/title-29/section-1926.1424"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n2fkbgmkpsdqvebaog3"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o8mgrzufgxk4kzlen64p6"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Crane Swing Radius: Keep Clear</dc:title>
  <dc:creator>Clever Rook</dc:creator>
  <cp:lastModifiedBy>Un-named</cp:lastModifiedBy>
  <cp:revision>1</cp:revision>
  <dcterms:created xsi:type="dcterms:W3CDTF">2026-11-05T19:10:31.766Z</dcterms:created>
  <dcterms:modified xsi:type="dcterms:W3CDTF">2026-11-05T19:10:31.767Z</dcterms:modified>
</cp:coreProperties>
</file>

<file path=docProps/custom.xml><?xml version="1.0" encoding="utf-8"?>
<Properties xmlns="http://schemas.openxmlformats.org/officeDocument/2006/custom-properties" xmlns:vt="http://schemas.openxmlformats.org/officeDocument/2006/docPropsVTypes"/>
</file>