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ANÁLISIS DE RIESGOS DEL TRABAJO (JHA / JSA)</w:t>
      </w:r>
    </w:p>
    <w:p>
      <w:pPr>
        <w:spacing w:after="6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Demolición interior para remodelación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 / lugar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Preparado por</w:t>
            </w:r>
          </w:p>
        </w:tc>
      </w:tr>
    </w:tbl>
    <w:p>
      <w:pPr>
        <w:spacing w:after="60"/>
      </w:pPr>
    </w:p>
    <w:p>
      <w:pPr>
        <w:keepNext w:val="false"/>
        <w:spacing w:after="80"/>
      </w:pPr>
      <w:r>
        <w:rPr>
          <w:rFonts w:ascii="Arial" w:cs="Arial" w:eastAsia="Arial" w:hAnsi="Arial"/>
          <w:color w:val="111214"/>
          <w:sz w:val="18"/>
          <w:szCs w:val="18"/>
        </w:rPr>
        <w:t xml:space="preserve">Retire acabados, divisiones e instalaciones interiores con un martillo demoledor, una sierra recíproca y barras de palanca. Mueva los escombros por un conducto hasta un contenedor sin dañar los soportes estructurales ni los servicios protegidos.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200"/>
        <w:gridCol w:w="7200"/>
      </w:tblGrid>
      <w:tr>
        <w:trPr>
          <w:trHeight w:val="900" w:hRule="atLeast"/>
        </w:trPr>
        <w:tc>
          <w:tcPr>
            <w:tcW w:type="dxa" w:w="7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Equipo de protección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Casco para protegerse de escombros que caen.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Lentes de seguridad con protección lateral; agregue una careta para fragmentos que salen disparados.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Guantes de trabajo resistentes a cortes para escombros filosos.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Botas de trabajo de protección para escombros filosos y materiales que caen.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Tapones u orejeras al usar el martillo demoledor o la sierra.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Respirador seleccionado por el empleador cuando se requiera por exposición al plomo, usado bajo un programa de protección respiratoria.</w:t>
            </w:r>
          </w:p>
        </w:tc>
        <w:tc>
          <w:tcPr>
            <w:tcW w:type="dxa" w:w="72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Antes de empezar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Confirme que una persona competente evaluó la estructura antes de empezar la demolición: armazón, pisos, paredes, riesgo de derrumbe y cualquier estructura vecina donde los trabajadores puedan estar expuestos. Verifique que haya constancia escrita de la evaluación.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Confirme qué paredes y materiales se van a retirar y cuáles deben quedarse. Si el edificio fue dañado por incendio, inundación, explosión u otra causa, asegúrese de que las paredes o los pisos estén apuntalados o reforzados antes de que alguien trabaje adentro.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Antes de empezar la demolición, confirme que las líneas de electricidad, gas, agua, vapor, drenaje y otros servicios estén cortadas, tapadas o controladas de otra forma fuera del límite del edificio, y que se avisó con anticipación a cada compañía de servicios involucrada. Las líneas que sigan en servicio deben reubicarse según sea necesario y protegerse.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Averigüe si las superficies que se van a demoler tienen pintura o recubrimientos con plomo. Si los tienen, trate a los trabajadores como muy expuestos y use protección provisional hasta que una evaluación de exposición muestre una exposición menor. Confirme que los trabajadores estén capacitados sobre los peligros del plomo y que un programa de respiradores cubra a quien deba usar respirador.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Retire de uso las herramientas manuales dañadas o inseguras; revise que los mangos de madera no tengan astillas ni grietas y que no estén flojos. Revise el martillo demoledor, la sierra, el conducto y la ruta de escombros antes de comenzar.</w:t>
            </w:r>
          </w:p>
        </w:tc>
      </w:tr>
    </w:tbl>
    <w:p>
      <w:pPr>
        <w:spacing w:after="6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4000"/>
        <w:gridCol w:w="63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Paso del trabajo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Peligros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Controles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Prepare el área de trabajo y la ruta de escombros.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Los trabajadores caen por aberturas existentes en pisos o paredes.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Asegure cubiertas sobre las aberturas del piso que no se usen para tirar materiales, con resistencia suficiente para cualquier carga prevista.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Proteja las aberturas de pared que presenten peligro de caída hasta una altura aproximada de 42 pulgadas.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El vidrio suelto o los escombros cortan a los trabajadores o bloquean su ruta de salida.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Retire el vidrio que pueda romperse en fragmentos peligrosos antes de demoler cerca de él.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Despeje los pasillos y las escaleras antes de mover herramientas o escombros.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 a los demás trabajadores fuera de las áreas de demolición y manejo de escombros.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Retire las instalaciones y desprenda los acabados interiores con palanca.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Una división o un material sujeto cae y aplasta a los trabajadores al retirar sus soportes.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Retire únicamente las paredes y los materiales marcados para retirar.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Sostenga las secciones sueltas antes de soltar sus fijaciones.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 a los trabajadores fuera de la trayectoria de las secciones que puedan caer.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Una barra de palanca se resbala o se rompe y causa cortes o aplastamiento de los dedos.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Retire de uso las barras de palanca dañadas.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Coloque la barra firmemente antes de aplicar fuerza.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 las manos alejadas de los puntos de atrapamiento y de la posible trayectoria de la barra si se resbala.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Corte las secciones que se retirarán con la sierra recíproca.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La hoja toca cables o tubos ocultos y causa una descarga eléctrica o una fuga de gas o agua.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Revise si hay cables y tubos dentro de la pared o el techo antes de cortar.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 los cortes alejados de las líneas de servicio que siguen en uso.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Deténgase y haga revisar las líneas no identificadas antes de continuar.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La hoja en movimiento o una sección cortada que cae corta o golpea a un trabajador.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Sostenga la sección para que no caiga ni apriete la hoja.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 las manos y a los compañeros alejados de ambos lados del corte.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Desconecte la energía antes de cambiar hojas o liberar un atasco.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Rompa los materiales autorizados con el martillo demoledor.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Romper material debilita los soportes o lanza fragmentos hacia los trabajadores cercanos.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No rompa vigas, columnas ni muros de carga a menos que el supervisor confirme que están marcados para retirar.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 a los demás trabajadores fuera de la trayectoria de los fragmentos.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Use lentes de seguridad y una careta mientras rompe material.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Romper materiales con pintura o recubrimientos con plomo libera polvo de plomo que los trabajadores pueden respirar o tragar.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Use recolección de polvo adecuada para la herramienta y el material para limitar la liberación de polvo.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Hasta que se haga la evaluación de exposición, use la protección provisional contra el plomo que estableció su empleador.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Use el respirador asignado cuando se requiera, ajustado a usted y mantenido limpio según el programa de respiradores.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Mueva los escombros por el conducto hasta el contenedor.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Los escombros que caen o rebotan golpean a los trabajadores en la salida del conducto o en el contenedor.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 cerrada a los trabajadores el área de descarga del conducto mientras se tiran escombros.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Deje de cargar antes de que alguien se acerque a la salida para retirar escombros.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 las cargas manejables y evite forzar piezas demasiado grandes dentro del conducto.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Los escombros filosos y pesados causan perforaciones, cortes o lesiones por esfuerzo al levantarlos.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Mantenga las áreas de trabajo y las rutas de paso libres de desperdicios con clavos salientes.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Use carritos o levante entre varias personas los materiales voluminosos.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Use guantes resistentes a cortes al manipular escombros.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b/>
                <w:bCs/>
                <w:color w:val="111214"/>
                <w:sz w:val="18"/>
                <w:szCs w:val="18"/>
              </w:rPr>
              <w:t xml:space="preserve">Limpie el área y asegure las aberturas restantes.</w:t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Los desperdicios restantes causan tropiezos, perforaciones o incendios.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Retire los desperdicios combustibles a intervalos regulares durante el trabajo.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Separe los residuos en recipientes de recolección y tape los que contengan residuos aceitosos, inflamables o peligrosos.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Despeje las áreas de trabajo, los pasillos y las escaleras antes de retirarse.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40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Los trabajadores que entren después caen por una abertura que dejó la demolición.</w:t>
            </w:r>
          </w:p>
        </w:tc>
        <w:tc>
          <w:tcPr>
            <w:tcW w:type="dxa" w:w="63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Asegure cubiertas resistentes a las cargas sobre las aberturas del piso que ya no se usen para tirar escombros.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Restablezca la protección en las aberturas de pared antes de que otros usen el área.</w:t>
            </w:r>
          </w:p>
        </w:tc>
      </w:tr>
    </w:tbl>
    <w:p>
      <w:pPr>
        <w:spacing w:after="60"/>
      </w:pP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400"/>
      </w:tblGrid>
      <w:tr>
        <w:trPr>
          <w:trHeight w:val="800" w:hRule="atLeast"/>
        </w:trPr>
        <w:tc>
          <w:tcPr>
            <w:tcW w:type="dxa" w:w="14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B4322A"/>
                <w:sz w:val="17"/>
                <w:szCs w:val="17"/>
              </w:rPr>
              <w:t xml:space="preserve">Detengan el trabajo y llamen al supervisor si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Deténgase y llame al supervisor si las paredes o los pisos se mueven, se hunden o se agrietan inesperadamente, o si se necesita retirar un elemento estructural no identificado.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Deténgase y llame al supervisor si queda expuesta o se daña una línea de servicio no identificada o sin controlar.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Deténgase y llame al supervisor si encuentra pintura o recubrimientos que puedan contener plomo y no hay protecciones contra el plomo, o si fallan los controles de polvo.</w:t>
            </w:r>
          </w:p>
          <w:p>
            <w:pPr>
              <w:pStyle w:val="ListParagraph"/>
              <w:keepNext w:val="false"/>
              <w:numPr>
                <w:ilvl w:val="0"/>
                <w:numId w:val="1"/>
              </w:numPr>
              <w:spacing w:after="80"/>
            </w:pPr>
            <w:r>
              <w:rPr>
                <w:rFonts w:ascii="Arial" w:cs="Arial" w:eastAsia="Arial" w:hAnsi="Arial"/>
                <w:color w:val="111214"/>
                <w:sz w:val="18"/>
                <w:szCs w:val="18"/>
              </w:rPr>
              <w:t xml:space="preserve">Deténgase y llame al supervisor si falla la protección de una abertura, el conducto está dañado o bloqueado, o entran trabajadores al área de descarga de escombros.</w:t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color w:val="5F636B"/>
          <w:sz w:val="15"/>
          <w:szCs w:val="15"/>
        </w:rPr>
        <w:t xml:space="preserve">Fuentes: </w:t>
      </w:r>
      <w:hyperlink w:history="1" r:id="rId0f7jjc1edvokhxdfwmhce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1926.850, Preparatory operations</w:t>
        </w:r>
      </w:hyperlink>
      <w:r>
        <w:rPr>
          <w:rFonts w:ascii="Arial" w:cs="Arial" w:eastAsia="Arial" w:hAnsi="Arial"/>
          <w:color w:val="5F636B"/>
          <w:sz w:val="15"/>
          <w:szCs w:val="15"/>
        </w:rPr>
        <w:t xml:space="preserve">; </w:t>
      </w:r>
      <w:hyperlink w:history="1" r:id="rIdkvbudtouqd6kjnuu4vo7-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1926.62, Lead</w:t>
        </w:r>
      </w:hyperlink>
      <w:r>
        <w:rPr>
          <w:rFonts w:ascii="Arial" w:cs="Arial" w:eastAsia="Arial" w:hAnsi="Arial"/>
          <w:color w:val="5F636B"/>
          <w:sz w:val="15"/>
          <w:szCs w:val="15"/>
        </w:rPr>
        <w:t xml:space="preserve">; </w:t>
      </w:r>
      <w:hyperlink w:history="1" r:id="rIdvuh4hduor0ggxsxzddgth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1926.301, Hand tools</w:t>
        </w:r>
      </w:hyperlink>
      <w:r>
        <w:rPr>
          <w:rFonts w:ascii="Arial" w:cs="Arial" w:eastAsia="Arial" w:hAnsi="Arial"/>
          <w:color w:val="5F636B"/>
          <w:sz w:val="15"/>
          <w:szCs w:val="15"/>
        </w:rPr>
        <w:t xml:space="preserve">; </w:t>
      </w:r>
      <w:hyperlink w:history="1" r:id="rIdotbrsr56jtvjvembirx6_">
        <w:r>
          <w:rPr>
            <w:rFonts w:ascii="Arial" w:cs="Arial" w:eastAsia="Arial" w:hAnsi="Arial"/>
            <w:color w:val="1F5FAD"/>
            <w:sz w:val="15"/>
            <w:szCs w:val="15"/>
            <w:u w:val="single"/>
          </w:rPr>
          <w:t xml:space="preserve">29 CFR 1926.25, Housekeeping</w:t>
        </w:r>
      </w:hyperlink>
    </w:p>
    <w:p>
      <w:pPr>
        <w:spacing w:before="60"/>
      </w:pPr>
      <w:r>
        <w:rPr>
          <w:rFonts w:ascii="Arial" w:cs="Arial" w:eastAsia="Arial" w:hAnsi="Arial"/>
          <w:color w:val="5F636B"/>
          <w:sz w:val="15"/>
          <w:szCs w:val="15"/>
        </w:rPr>
        <w:t xml:space="preserve">Borrador redactado con IA para revisión por una persona competente. Clever Rook redacta a partir del texto oficial de las normas que cita, pero no conoce su obra. Compárelo con sus condiciones y el programa de seguridad de su empresa antes de usarlo. No es asesoría legal.</w:t>
      </w:r>
    </w:p>
    <w:p>
      <w:pPr>
        <w:sectPr>
          <w:footerReference w:type="default" r:id="rId7"/>
          <w:pgSz w:w="15840" w:h="12240" w:orient="landscape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Arial" w:cs="Arial" w:eastAsia="Arial" w:hAnsi="Arial"/>
          <w:b/>
          <w:bCs/>
          <w:color w:val="5F636B"/>
          <w:sz w:val="16"/>
          <w:szCs w:val="16"/>
        </w:rPr>
        <w:t xml:space="preserve">HOJA DE ASISTENCIA</w:t>
      </w:r>
    </w:p>
    <w:p>
      <w:pPr>
        <w:spacing w:after="6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Demolición interior para remodelación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600"/>
        <w:gridCol w:w="3600"/>
      </w:tblGrid>
      <w:tr>
        <w:trPr>
          <w:trHeight w:val="620" w:hRule="atLeast"/>
        </w:trPr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Proyecto / obra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</w:t>
            </w:r>
          </w:p>
        </w:tc>
      </w:tr>
    </w:tbl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400"/>
        <w:gridCol w:w="5400"/>
      </w:tblGrid>
      <w:tr>
        <w:trPr>
          <w:trHeight w:val="620" w:hRule="atLeast"/>
        </w:trPr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Revisada por (persona competente)</w:t>
            </w:r>
          </w:p>
        </w:tc>
        <w:tc>
          <w:tcPr>
            <w:tcW w:type="dxa" w:w="54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Fecha de revisión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color w:val="5F636B"/>
          <w:sz w:val="16"/>
          <w:szCs w:val="16"/>
        </w:rPr>
        <w:t xml:space="preserve">Al firmar, confirmo que asistí a esta charla de seguridad y la entendí.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0"/>
        <w:gridCol w:w="3600"/>
        <w:gridCol w:w="3600"/>
        <w:gridCol w:w="3100"/>
      </w:tblGrid>
      <w:tr>
        <w:trPr>
          <w:tblHeader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#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Nombre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Firma</w:t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shd w:fill="F4F2EC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5F636B"/>
                <w:sz w:val="15"/>
                <w:szCs w:val="15"/>
              </w:rPr>
              <w:t xml:space="preserve">Empresa / oficio</w:t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6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7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8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9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10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11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12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13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14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5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color w:val="5F636B"/>
                <w:sz w:val="16"/>
                <w:szCs w:val="16"/>
              </w:rPr>
              <w:t xml:space="preserve">15</w:t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6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  <w:tc>
          <w:tcPr>
            <w:tcW w:type="dxa" w:w="3100"/>
            <w:tcBorders>
              <w:top w:val="single" w:color="D9D6CF" w:sz="4"/>
              <w:left w:val="single" w:color="D9D6CF" w:sz="4"/>
              <w:bottom w:val="single" w:color="D9D6CF" w:sz="4"/>
              <w:right w:val="single" w:color="D9D6CF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/>
            </w:r>
          </w:p>
        </w:tc>
      </w:tr>
    </w:tbl>
    <w:sectPr>
      <w:footerReference w:type="default" r:id="rId8"/>
      <w:pgSz w:w="12240" w:h="15840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</w:t>
    </w:r>
    <w:hyperlink w:history="1" r:id="rIdtrftvrnkaywi12cubncon">
      <w:r>
        <w:rPr>
          <w:rFonts w:ascii="Arial" w:cs="Arial" w:eastAsia="Arial" w:hAnsi="Arial"/>
          <w:color w:val="5F636B"/>
          <w:sz w:val="14"/>
          <w:szCs w:val="14"/>
        </w:rPr>
        <w:t xml:space="preserve">escriba la suya gratis, en inglés y español: cleverrook.com</w:t>
      </w:r>
    </w:hyperlink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5F636B"/>
        <w:sz w:val="14"/>
        <w:szCs w:val="14"/>
      </w:rPr>
      <w:t xml:space="preserve">Hecho con Clever Rook · </w:t>
    </w:r>
    <w:hyperlink w:history="1" r:id="rIdfb5f5rxuof24tzhuphxhy">
      <w:r>
        <w:rPr>
          <w:rFonts w:ascii="Arial" w:cs="Arial" w:eastAsia="Arial" w:hAnsi="Arial"/>
          <w:color w:val="5F636B"/>
          <w:sz w:val="14"/>
          <w:szCs w:val="14"/>
        </w:rPr>
        <w:t xml:space="preserve">escriba la suya gratis, en inglés y español: cleverrook.com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0f7jjc1edvokhxdfwmhce" Type="http://schemas.openxmlformats.org/officeDocument/2006/relationships/hyperlink" Target="https://www.ecfr.gov/current/title-29/section-1926.850" TargetMode="External"/><Relationship Id="rIdkvbudtouqd6kjnuu4vo7-" Type="http://schemas.openxmlformats.org/officeDocument/2006/relationships/hyperlink" Target="https://www.ecfr.gov/current/title-29/section-1926.62" TargetMode="External"/><Relationship Id="rIdvuh4hduor0ggxsxzddgth" Type="http://schemas.openxmlformats.org/officeDocument/2006/relationships/hyperlink" Target="https://www.ecfr.gov/current/title-29/section-1926.301" TargetMode="External"/><Relationship Id="rIdotbrsr56jtvjvembirx6_" Type="http://schemas.openxmlformats.org/officeDocument/2006/relationships/hyperlink" Target="https://www.ecfr.gov/current/title-29/section-1926.25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ftvrnkaywi12cubncon" Type="http://schemas.openxmlformats.org/officeDocument/2006/relationships/hyperlink" Target="https://cleverrook.com/?ref=word" TargetMode="External"/></Relationships>
</file>

<file path=word/_rels/footer2.xml.rels><?xml version="1.0" encoding="UTF-8"?><Relationships xmlns="http://schemas.openxmlformats.org/package/2006/relationships"><Relationship Id="rIdfb5f5rxuof24tzhuphxhy" Type="http://schemas.openxmlformats.org/officeDocument/2006/relationships/hyperlink" Target="https://cleverrook.com/?ref=word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Interior demolition for remodeling</dc:title>
  <dc:creator>Clever Rook</dc:creator>
  <cp:lastModifiedBy>Un-named</cp:lastModifiedBy>
  <cp:revision>1</cp:revision>
  <dcterms:created xsi:type="dcterms:W3CDTF">2026-10-26T18:08:55.670Z</dcterms:created>
  <dcterms:modified xsi:type="dcterms:W3CDTF">2026-10-26T18:08:55.670Z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