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pPr>
      <w:r>
        <w:rPr>
          <w:rFonts w:ascii="Arial" w:cs="Arial" w:eastAsia="Arial" w:hAnsi="Arial"/>
          <w:b/>
          <w:bCs/>
          <w:color w:val="5F636B"/>
          <w:sz w:val="16"/>
          <w:szCs w:val="16"/>
        </w:rPr>
        <w:t xml:space="preserve">JOB HAZARD ANALYSIS (JHA / JSA)</w:t>
      </w:r>
    </w:p>
    <w:p>
      <w:pPr>
        <w:spacing w:after="60"/>
      </w:pPr>
      <w:r>
        <w:rPr>
          <w:rFonts w:ascii="Arial" w:cs="Arial" w:eastAsia="Arial" w:hAnsi="Arial"/>
          <w:b/>
          <w:bCs/>
          <w:sz w:val="28"/>
          <w:szCs w:val="28"/>
        </w:rPr>
        <w:t xml:space="preserve">Outdoor Boom Lift Operation</w:t>
      </w:r>
    </w:p>
    <w:tbl>
      <w:tblPr>
        <w:tblW w:type="dxa" w:w="1440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3600"/>
        <w:gridCol w:w="3600"/>
        <w:gridCol w:w="3600"/>
        <w:gridCol w:w="3600"/>
      </w:tblGrid>
      <w:tr>
        <w:trPr>
          <w:trHeight w:val="620" w:hRule="atLeast"/>
        </w:trPr>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b/>
                <w:bCs/>
                <w:color w:val="5F636B"/>
                <w:sz w:val="15"/>
                <w:szCs w:val="15"/>
              </w:rPr>
              <w:t xml:space="preserve">Company</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b/>
                <w:bCs/>
                <w:color w:val="5F636B"/>
                <w:sz w:val="15"/>
                <w:szCs w:val="15"/>
              </w:rPr>
              <w:t xml:space="preserve">Project / location</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b/>
                <w:bCs/>
                <w:color w:val="5F636B"/>
                <w:sz w:val="15"/>
                <w:szCs w:val="15"/>
              </w:rPr>
              <w:t xml:space="preserve">Date</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b/>
                <w:bCs/>
                <w:color w:val="5F636B"/>
                <w:sz w:val="15"/>
                <w:szCs w:val="15"/>
              </w:rPr>
              <w:t xml:space="preserve">Prepared by</w:t>
            </w:r>
          </w:p>
        </w:tc>
      </w:tr>
    </w:tbl>
    <w:p>
      <w:pPr>
        <w:spacing w:after="60"/>
      </w:pPr>
    </w:p>
    <w:p>
      <w:pPr>
        <w:keepNext w:val="false"/>
        <w:spacing w:after="80"/>
      </w:pPr>
      <w:r>
        <w:rPr>
          <w:rFonts w:ascii="Arial" w:cs="Arial" w:eastAsia="Arial" w:hAnsi="Arial"/>
          <w:color w:val="111214"/>
          <w:sz w:val="18"/>
          <w:szCs w:val="18"/>
        </w:rPr>
        <w:t xml:space="preserve">Set up, operate, reposition, and park an articulating or telescopic boom lift for work outside a building. Includes basket access and use of a harness and lanyard.</w:t>
      </w:r>
    </w:p>
    <w:tbl>
      <w:tblPr>
        <w:tblW w:type="dxa" w:w="1440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7200"/>
        <w:gridCol w:w="7200"/>
      </w:tblGrid>
      <w:tr>
        <w:trPr>
          <w:trHeight w:val="900" w:hRule="atLeast"/>
        </w:trPr>
        <w:tc>
          <w:tcPr>
            <w:tcW w:type="dxa" w:w="72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b/>
                <w:bCs/>
                <w:color w:val="5F636B"/>
                <w:sz w:val="15"/>
                <w:szCs w:val="15"/>
              </w:rPr>
              <w:t xml:space="preserve">Protective equipment</w:t>
            </w:r>
          </w:p>
          <w:p>
            <w:pPr>
              <w:pStyle w:val="ListParagraph"/>
              <w:keepNext w:val="false"/>
              <w:numPr>
                <w:ilvl w:val="0"/>
                <w:numId w:val="1"/>
              </w:numPr>
              <w:spacing w:after="80"/>
            </w:pPr>
            <w:r>
              <w:rPr>
                <w:rFonts w:ascii="Arial" w:cs="Arial" w:eastAsia="Arial" w:hAnsi="Arial"/>
                <w:color w:val="111214"/>
                <w:sz w:val="18"/>
                <w:szCs w:val="18"/>
              </w:rPr>
              <w:t xml:space="preserve">Full-body harness and compatible lanyard suited to the lift's designated anchorage and fall protection system.</w:t>
            </w:r>
          </w:p>
          <w:p>
            <w:pPr>
              <w:pStyle w:val="ListParagraph"/>
              <w:keepNext w:val="false"/>
              <w:numPr>
                <w:ilvl w:val="0"/>
                <w:numId w:val="1"/>
              </w:numPr>
              <w:spacing w:after="80"/>
            </w:pPr>
            <w:r>
              <w:rPr>
                <w:rFonts w:ascii="Arial" w:cs="Arial" w:eastAsia="Arial" w:hAnsi="Arial"/>
                <w:color w:val="111214"/>
                <w:sz w:val="18"/>
                <w:szCs w:val="18"/>
              </w:rPr>
              <w:t xml:space="preserve">Hard hat for overhead and falling-object hazards.</w:t>
            </w:r>
          </w:p>
          <w:p>
            <w:pPr>
              <w:pStyle w:val="ListParagraph"/>
              <w:keepNext w:val="false"/>
              <w:numPr>
                <w:ilvl w:val="0"/>
                <w:numId w:val="1"/>
              </w:numPr>
              <w:spacing w:after="80"/>
            </w:pPr>
            <w:r>
              <w:rPr>
                <w:rFonts w:ascii="Arial" w:cs="Arial" w:eastAsia="Arial" w:hAnsi="Arial"/>
                <w:color w:val="111214"/>
                <w:sz w:val="18"/>
                <w:szCs w:val="18"/>
              </w:rPr>
              <w:t xml:space="preserve">Safety glasses with side shields for flying particles.</w:t>
            </w:r>
          </w:p>
        </w:tc>
        <w:tc>
          <w:tcPr>
            <w:tcW w:type="dxa" w:w="72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b/>
                <w:bCs/>
                <w:color w:val="5F636B"/>
                <w:sz w:val="15"/>
                <w:szCs w:val="15"/>
              </w:rPr>
              <w:t xml:space="preserve">Before you start</w:t>
            </w:r>
          </w:p>
          <w:p>
            <w:pPr>
              <w:pStyle w:val="ListParagraph"/>
              <w:keepNext w:val="false"/>
              <w:numPr>
                <w:ilvl w:val="0"/>
                <w:numId w:val="1"/>
              </w:numPr>
              <w:spacing w:after="80"/>
            </w:pPr>
            <w:r>
              <w:rPr>
                <w:rFonts w:ascii="Arial" w:cs="Arial" w:eastAsia="Arial" w:hAnsi="Arial"/>
                <w:color w:val="111214"/>
                <w:sz w:val="18"/>
                <w:szCs w:val="18"/>
              </w:rPr>
              <w:t xml:space="preserve">Confirm that only authorized operators will operate the lift.</w:t>
            </w:r>
          </w:p>
          <w:p>
            <w:pPr>
              <w:pStyle w:val="ListParagraph"/>
              <w:keepNext w:val="false"/>
              <w:numPr>
                <w:ilvl w:val="0"/>
                <w:numId w:val="1"/>
              </w:numPr>
              <w:spacing w:after="80"/>
            </w:pPr>
            <w:r>
              <w:rPr>
                <w:rFonts w:ascii="Arial" w:cs="Arial" w:eastAsia="Arial" w:hAnsi="Arial"/>
                <w:color w:val="111214"/>
                <w:sz w:val="18"/>
                <w:szCs w:val="18"/>
              </w:rPr>
              <w:t xml:space="preserve">Test lift controls each day before use, including upper controls and the lower-control override; confirm that control functions are plainly marked.</w:t>
            </w:r>
          </w:p>
          <w:p>
            <w:pPr>
              <w:pStyle w:val="ListParagraph"/>
              <w:keepNext w:val="false"/>
              <w:numPr>
                <w:ilvl w:val="0"/>
                <w:numId w:val="1"/>
              </w:numPr>
              <w:spacing w:after="80"/>
            </w:pPr>
            <w:r>
              <w:rPr>
                <w:rFonts w:ascii="Arial" w:cs="Arial" w:eastAsia="Arial" w:hAnsi="Arial"/>
                <w:color w:val="111214"/>
                <w:sz w:val="18"/>
                <w:szCs w:val="18"/>
              </w:rPr>
              <w:t xml:space="preserve">Check the manufacturer's boom and basket load limits and plan the load of people, tools, and materials.</w:t>
            </w:r>
          </w:p>
          <w:p>
            <w:pPr>
              <w:pStyle w:val="ListParagraph"/>
              <w:keepNext w:val="false"/>
              <w:numPr>
                <w:ilvl w:val="0"/>
                <w:numId w:val="1"/>
              </w:numPr>
              <w:spacing w:after="80"/>
            </w:pPr>
            <w:r>
              <w:rPr>
                <w:rFonts w:ascii="Arial" w:cs="Arial" w:eastAsia="Arial" w:hAnsi="Arial"/>
                <w:color w:val="111214"/>
                <w:sz w:val="18"/>
                <w:szCs w:val="18"/>
              </w:rPr>
              <w:t xml:space="preserve">Check the harness, lanyard, and designated anchorage; remove impact-loaded fall arrest equipment from service until a competent person inspects it and determines it is suitable for reuse.</w:t>
            </w:r>
          </w:p>
          <w:p>
            <w:pPr>
              <w:pStyle w:val="ListParagraph"/>
              <w:keepNext w:val="false"/>
              <w:numPr>
                <w:ilvl w:val="0"/>
                <w:numId w:val="1"/>
              </w:numPr>
              <w:spacing w:after="80"/>
            </w:pPr>
            <w:r>
              <w:rPr>
                <w:rFonts w:ascii="Arial" w:cs="Arial" w:eastAsia="Arial" w:hAnsi="Arial"/>
                <w:color w:val="111214"/>
                <w:sz w:val="18"/>
                <w:szCs w:val="18"/>
              </w:rPr>
              <w:t xml:space="preserve">Walk the travel route and work area to identify weak ground, slopes, overhead obstructions, power lines, and people who could enter the lift's path.</w:t>
            </w:r>
          </w:p>
        </w:tc>
      </w:tr>
    </w:tbl>
    <w:p>
      <w:pPr>
        <w:spacing w:after="60"/>
      </w:pPr>
    </w:p>
    <w:tbl>
      <w:tblPr>
        <w:tblW w:type="dxa" w:w="1440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500"/>
        <w:gridCol w:w="3600"/>
        <w:gridCol w:w="4000"/>
        <w:gridCol w:w="6300"/>
      </w:tblGrid>
      <w:tr>
        <w:trPr>
          <w:tblHeader/>
        </w:trPr>
        <w:tc>
          <w:tcPr>
            <w:tcW w:type="dxa" w:w="500"/>
            <w:tcBorders>
              <w:top w:val="single" w:color="D9D6CF" w:sz="4"/>
              <w:left w:val="single" w:color="D9D6CF" w:sz="4"/>
              <w:bottom w:val="single" w:color="D9D6CF" w:sz="4"/>
              <w:right w:val="single" w:color="D9D6CF" w:sz="4"/>
            </w:tcBorders>
            <w:shd w:fill="F4F2EC" w:color="auto" w:val="clear"/>
            <w:tcMar>
              <w:top w:type="dxa" w:w="60"/>
              <w:left w:type="dxa" w:w="100"/>
              <w:bottom w:type="dxa" w:w="60"/>
              <w:right w:type="dxa" w:w="100"/>
            </w:tcMar>
          </w:tcPr>
          <w:p>
            <w:r>
              <w:rPr>
                <w:rFonts w:ascii="Arial" w:cs="Arial" w:eastAsia="Arial" w:hAnsi="Arial"/>
                <w:b/>
                <w:bCs/>
                <w:color w:val="5F636B"/>
                <w:sz w:val="15"/>
                <w:szCs w:val="15"/>
              </w:rPr>
              <w:t xml:space="preserve">#</w:t>
            </w:r>
          </w:p>
        </w:tc>
        <w:tc>
          <w:tcPr>
            <w:tcW w:type="dxa" w:w="3600"/>
            <w:tcBorders>
              <w:top w:val="single" w:color="D9D6CF" w:sz="4"/>
              <w:left w:val="single" w:color="D9D6CF" w:sz="4"/>
              <w:bottom w:val="single" w:color="D9D6CF" w:sz="4"/>
              <w:right w:val="single" w:color="D9D6CF" w:sz="4"/>
            </w:tcBorders>
            <w:shd w:fill="F4F2EC" w:color="auto" w:val="clear"/>
            <w:tcMar>
              <w:top w:type="dxa" w:w="60"/>
              <w:left w:type="dxa" w:w="100"/>
              <w:bottom w:type="dxa" w:w="60"/>
              <w:right w:type="dxa" w:w="100"/>
            </w:tcMar>
          </w:tcPr>
          <w:p>
            <w:r>
              <w:rPr>
                <w:rFonts w:ascii="Arial" w:cs="Arial" w:eastAsia="Arial" w:hAnsi="Arial"/>
                <w:b/>
                <w:bCs/>
                <w:color w:val="5F636B"/>
                <w:sz w:val="15"/>
                <w:szCs w:val="15"/>
              </w:rPr>
              <w:t xml:space="preserve">Job step</w:t>
            </w:r>
          </w:p>
        </w:tc>
        <w:tc>
          <w:tcPr>
            <w:tcW w:type="dxa" w:w="4000"/>
            <w:tcBorders>
              <w:top w:val="single" w:color="D9D6CF" w:sz="4"/>
              <w:left w:val="single" w:color="D9D6CF" w:sz="4"/>
              <w:bottom w:val="single" w:color="D9D6CF" w:sz="4"/>
              <w:right w:val="single" w:color="D9D6CF" w:sz="4"/>
            </w:tcBorders>
            <w:shd w:fill="F4F2EC" w:color="auto" w:val="clear"/>
            <w:tcMar>
              <w:top w:type="dxa" w:w="60"/>
              <w:left w:type="dxa" w:w="100"/>
              <w:bottom w:type="dxa" w:w="60"/>
              <w:right w:type="dxa" w:w="100"/>
            </w:tcMar>
          </w:tcPr>
          <w:p>
            <w:r>
              <w:rPr>
                <w:rFonts w:ascii="Arial" w:cs="Arial" w:eastAsia="Arial" w:hAnsi="Arial"/>
                <w:b/>
                <w:bCs/>
                <w:color w:val="5F636B"/>
                <w:sz w:val="15"/>
                <w:szCs w:val="15"/>
              </w:rPr>
              <w:t xml:space="preserve">Hazards</w:t>
            </w:r>
          </w:p>
        </w:tc>
        <w:tc>
          <w:tcPr>
            <w:tcW w:type="dxa" w:w="6300"/>
            <w:tcBorders>
              <w:top w:val="single" w:color="D9D6CF" w:sz="4"/>
              <w:left w:val="single" w:color="D9D6CF" w:sz="4"/>
              <w:bottom w:val="single" w:color="D9D6CF" w:sz="4"/>
              <w:right w:val="single" w:color="D9D6CF" w:sz="4"/>
            </w:tcBorders>
            <w:shd w:fill="F4F2EC" w:color="auto" w:val="clear"/>
            <w:tcMar>
              <w:top w:type="dxa" w:w="60"/>
              <w:left w:type="dxa" w:w="100"/>
              <w:bottom w:type="dxa" w:w="60"/>
              <w:right w:type="dxa" w:w="100"/>
            </w:tcMar>
          </w:tcPr>
          <w:p>
            <w:r>
              <w:rPr>
                <w:rFonts w:ascii="Arial" w:cs="Arial" w:eastAsia="Arial" w:hAnsi="Arial"/>
                <w:b/>
                <w:bCs/>
                <w:color w:val="5F636B"/>
                <w:sz w:val="15"/>
                <w:szCs w:val="15"/>
              </w:rPr>
              <w:t xml:space="preserve">Controls</w:t>
            </w:r>
          </w:p>
        </w:tc>
      </w:tr>
      <w:tr>
        <w:trPr>
          <w:cantSpli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b/>
                <w:bCs/>
                <w:sz w:val="18"/>
                <w:szCs w:val="18"/>
              </w:rPr>
              <w:t xml:space="preserve">1</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keepNext w:val="false"/>
              <w:spacing w:after="80"/>
            </w:pPr>
            <w:r>
              <w:rPr>
                <w:rFonts w:ascii="Arial" w:cs="Arial" w:eastAsia="Arial" w:hAnsi="Arial"/>
                <w:b/>
                <w:bCs/>
                <w:color w:val="111214"/>
                <w:sz w:val="18"/>
                <w:szCs w:val="18"/>
              </w:rPr>
              <w:t xml:space="preserve">Set up the lift and isolate the work area.</w:t>
            </w:r>
          </w:p>
        </w:tc>
        <w:tc>
          <w:tcPr>
            <w:tcW w:type="dxa" w:w="40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keepNext w:val="false"/>
              <w:spacing w:after="80"/>
            </w:pPr>
            <w:r>
              <w:rPr>
                <w:rFonts w:ascii="Arial" w:cs="Arial" w:eastAsia="Arial" w:hAnsi="Arial"/>
                <w:color w:val="111214"/>
                <w:sz w:val="18"/>
                <w:szCs w:val="18"/>
              </w:rPr>
              <w:t xml:space="preserve">The lift can tip on weak ground or roll on a slope.</w:t>
            </w:r>
          </w:p>
        </w:tc>
        <w:tc>
          <w:tcPr>
            <w:tcW w:type="dxa" w:w="63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pStyle w:val="ListParagraph"/>
              <w:keepNext w:val="false"/>
              <w:numPr>
                <w:ilvl w:val="0"/>
                <w:numId w:val="1"/>
              </w:numPr>
              <w:spacing w:after="80"/>
            </w:pPr>
            <w:r>
              <w:rPr>
                <w:rFonts w:ascii="Arial" w:cs="Arial" w:eastAsia="Arial" w:hAnsi="Arial"/>
                <w:color w:val="111214"/>
                <w:sz w:val="18"/>
                <w:szCs w:val="18"/>
              </w:rPr>
              <w:t xml:space="preserve">Choose firm ground that can support the lift and its load.</w:t>
            </w:r>
          </w:p>
          <w:p>
            <w:pPr>
              <w:pStyle w:val="ListParagraph"/>
              <w:keepNext w:val="false"/>
              <w:numPr>
                <w:ilvl w:val="0"/>
                <w:numId w:val="1"/>
              </w:numPr>
              <w:spacing w:after="80"/>
            </w:pPr>
            <w:r>
              <w:rPr>
                <w:rFonts w:ascii="Arial" w:cs="Arial" w:eastAsia="Arial" w:hAnsi="Arial"/>
                <w:color w:val="111214"/>
                <w:sz w:val="18"/>
                <w:szCs w:val="18"/>
              </w:rPr>
              <w:t xml:space="preserve">Set the brakes and place any outriggers on pads or a solid surface.</w:t>
            </w:r>
          </w:p>
          <w:p>
            <w:pPr>
              <w:pStyle w:val="ListParagraph"/>
              <w:keepNext w:val="false"/>
              <w:numPr>
                <w:ilvl w:val="0"/>
                <w:numId w:val="1"/>
              </w:numPr>
              <w:spacing w:after="80"/>
            </w:pPr>
            <w:r>
              <w:rPr>
                <w:rFonts w:ascii="Arial" w:cs="Arial" w:eastAsia="Arial" w:hAnsi="Arial"/>
                <w:color w:val="111214"/>
                <w:sz w:val="18"/>
                <w:szCs w:val="18"/>
              </w:rPr>
              <w:t xml:space="preserve">Install wheel chocks before using the lift on an incline if they can be installed safely.</w:t>
            </w:r>
          </w:p>
        </w:tc>
      </w:tr>
      <w:tr>
        <w:trPr>
          <w:cantSpli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40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keepNext w:val="false"/>
              <w:spacing w:after="80"/>
            </w:pPr>
            <w:r>
              <w:rPr>
                <w:rFonts w:ascii="Arial" w:cs="Arial" w:eastAsia="Arial" w:hAnsi="Arial"/>
                <w:color w:val="111214"/>
                <w:sz w:val="18"/>
                <w:szCs w:val="18"/>
              </w:rPr>
              <w:t xml:space="preserve">People can be struck by the moving boom or falling tools.</w:t>
            </w:r>
          </w:p>
        </w:tc>
        <w:tc>
          <w:tcPr>
            <w:tcW w:type="dxa" w:w="63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pStyle w:val="ListParagraph"/>
              <w:keepNext w:val="false"/>
              <w:numPr>
                <w:ilvl w:val="0"/>
                <w:numId w:val="1"/>
              </w:numPr>
              <w:spacing w:after="80"/>
            </w:pPr>
            <w:r>
              <w:rPr>
                <w:rFonts w:ascii="Arial" w:cs="Arial" w:eastAsia="Arial" w:hAnsi="Arial"/>
                <w:color w:val="111214"/>
                <w:sz w:val="18"/>
                <w:szCs w:val="18"/>
              </w:rPr>
              <w:t xml:space="preserve">Keep other work out of the area below the basket.</w:t>
            </w:r>
          </w:p>
          <w:p>
            <w:pPr>
              <w:pStyle w:val="ListParagraph"/>
              <w:keepNext w:val="false"/>
              <w:numPr>
                <w:ilvl w:val="0"/>
                <w:numId w:val="1"/>
              </w:numPr>
              <w:spacing w:after="80"/>
            </w:pPr>
            <w:r>
              <w:rPr>
                <w:rFonts w:ascii="Arial" w:cs="Arial" w:eastAsia="Arial" w:hAnsi="Arial"/>
                <w:color w:val="111214"/>
                <w:sz w:val="18"/>
                <w:szCs w:val="18"/>
              </w:rPr>
              <w:t xml:space="preserve">Barricade the area beneath the work and around the boom's swing path.</w:t>
            </w:r>
          </w:p>
          <w:p>
            <w:pPr>
              <w:pStyle w:val="ListParagraph"/>
              <w:keepNext w:val="false"/>
              <w:numPr>
                <w:ilvl w:val="0"/>
                <w:numId w:val="1"/>
              </w:numPr>
              <w:spacing w:after="80"/>
            </w:pPr>
            <w:r>
              <w:rPr>
                <w:rFonts w:ascii="Arial" w:cs="Arial" w:eastAsia="Arial" w:hAnsi="Arial"/>
                <w:color w:val="111214"/>
                <w:sz w:val="18"/>
                <w:szCs w:val="18"/>
              </w:rPr>
              <w:t xml:space="preserve">Keep tools and materials secured inside the basket.</w:t>
            </w:r>
          </w:p>
        </w:tc>
      </w:tr>
      <w:tr>
        <w:trPr>
          <w:cantSpli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b/>
                <w:bCs/>
                <w:sz w:val="18"/>
                <w:szCs w:val="18"/>
              </w:rPr>
              <w:t xml:space="preserve">2</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keepNext w:val="false"/>
              <w:spacing w:after="80"/>
            </w:pPr>
            <w:r>
              <w:rPr>
                <w:rFonts w:ascii="Arial" w:cs="Arial" w:eastAsia="Arial" w:hAnsi="Arial"/>
                <w:b/>
                <w:bCs/>
                <w:color w:val="111214"/>
                <w:sz w:val="18"/>
                <w:szCs w:val="18"/>
              </w:rPr>
              <w:t xml:space="preserve">Enter the basket and connect fall protection.</w:t>
            </w:r>
          </w:p>
        </w:tc>
        <w:tc>
          <w:tcPr>
            <w:tcW w:type="dxa" w:w="40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keepNext w:val="false"/>
              <w:spacing w:after="80"/>
            </w:pPr>
            <w:r>
              <w:rPr>
                <w:rFonts w:ascii="Arial" w:cs="Arial" w:eastAsia="Arial" w:hAnsi="Arial"/>
                <w:color w:val="111214"/>
                <w:sz w:val="18"/>
                <w:szCs w:val="18"/>
              </w:rPr>
              <w:t xml:space="preserve">A worker can fall while entering or be thrown from the basket during movement.</w:t>
            </w:r>
          </w:p>
        </w:tc>
        <w:tc>
          <w:tcPr>
            <w:tcW w:type="dxa" w:w="63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pStyle w:val="ListParagraph"/>
              <w:keepNext w:val="false"/>
              <w:numPr>
                <w:ilvl w:val="0"/>
                <w:numId w:val="1"/>
              </w:numPr>
              <w:spacing w:after="80"/>
            </w:pPr>
            <w:r>
              <w:rPr>
                <w:rFonts w:ascii="Arial" w:cs="Arial" w:eastAsia="Arial" w:hAnsi="Arial"/>
                <w:color w:val="111214"/>
                <w:sz w:val="18"/>
                <w:szCs w:val="18"/>
              </w:rPr>
              <w:t xml:space="preserve">Enter with the basket lowered using its intended access.</w:t>
            </w:r>
          </w:p>
          <w:p>
            <w:pPr>
              <w:pStyle w:val="ListParagraph"/>
              <w:keepNext w:val="false"/>
              <w:numPr>
                <w:ilvl w:val="0"/>
                <w:numId w:val="1"/>
              </w:numPr>
              <w:spacing w:after="80"/>
            </w:pPr>
            <w:r>
              <w:rPr>
                <w:rFonts w:ascii="Arial" w:cs="Arial" w:eastAsia="Arial" w:hAnsi="Arial"/>
                <w:color w:val="111214"/>
                <w:sz w:val="18"/>
                <w:szCs w:val="18"/>
              </w:rPr>
              <w:t xml:space="preserve">Wear the harness and attach the lanyard to the designated anchorage on the boom or basket before raising.</w:t>
            </w:r>
          </w:p>
          <w:p>
            <w:pPr>
              <w:pStyle w:val="ListParagraph"/>
              <w:keepNext w:val="false"/>
              <w:numPr>
                <w:ilvl w:val="0"/>
                <w:numId w:val="1"/>
              </w:numPr>
              <w:spacing w:after="80"/>
            </w:pPr>
            <w:r>
              <w:rPr>
                <w:rFonts w:ascii="Arial" w:cs="Arial" w:eastAsia="Arial" w:hAnsi="Arial"/>
                <w:color w:val="111214"/>
                <w:sz w:val="18"/>
                <w:szCs w:val="18"/>
              </w:rPr>
              <w:t xml:space="preserve">Do not attach the lanyard to guardrails or an adjacent building, pole, or piece of equipment.</w:t>
            </w:r>
          </w:p>
        </w:tc>
      </w:tr>
      <w:tr>
        <w:trPr>
          <w:cantSpli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b/>
                <w:bCs/>
                <w:sz w:val="18"/>
                <w:szCs w:val="18"/>
              </w:rPr>
              <w:t xml:space="preserve">3</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keepNext w:val="false"/>
              <w:spacing w:after="80"/>
            </w:pPr>
            <w:r>
              <w:rPr>
                <w:rFonts w:ascii="Arial" w:cs="Arial" w:eastAsia="Arial" w:hAnsi="Arial"/>
                <w:b/>
                <w:bCs/>
                <w:color w:val="111214"/>
                <w:sz w:val="18"/>
                <w:szCs w:val="18"/>
              </w:rPr>
              <w:t xml:space="preserve">Raise and position the basket.</w:t>
            </w:r>
          </w:p>
        </w:tc>
        <w:tc>
          <w:tcPr>
            <w:tcW w:type="dxa" w:w="40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keepNext w:val="false"/>
              <w:spacing w:after="80"/>
            </w:pPr>
            <w:r>
              <w:rPr>
                <w:rFonts w:ascii="Arial" w:cs="Arial" w:eastAsia="Arial" w:hAnsi="Arial"/>
                <w:color w:val="111214"/>
                <w:sz w:val="18"/>
                <w:szCs w:val="18"/>
              </w:rPr>
              <w:t xml:space="preserve">The basket can trap a worker against the building or an overhead obstruction.</w:t>
            </w:r>
          </w:p>
        </w:tc>
        <w:tc>
          <w:tcPr>
            <w:tcW w:type="dxa" w:w="63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pStyle w:val="ListParagraph"/>
              <w:keepNext w:val="false"/>
              <w:numPr>
                <w:ilvl w:val="0"/>
                <w:numId w:val="1"/>
              </w:numPr>
              <w:spacing w:after="80"/>
            </w:pPr>
            <w:r>
              <w:rPr>
                <w:rFonts w:ascii="Arial" w:cs="Arial" w:eastAsia="Arial" w:hAnsi="Arial"/>
                <w:color w:val="111214"/>
                <w:sz w:val="18"/>
                <w:szCs w:val="18"/>
              </w:rPr>
              <w:t xml:space="preserve">Choose a basket position clear of overhead and side obstructions.</w:t>
            </w:r>
          </w:p>
          <w:p>
            <w:pPr>
              <w:pStyle w:val="ListParagraph"/>
              <w:keepNext w:val="false"/>
              <w:numPr>
                <w:ilvl w:val="0"/>
                <w:numId w:val="1"/>
              </w:numPr>
              <w:spacing w:after="80"/>
            </w:pPr>
            <w:r>
              <w:rPr>
                <w:rFonts w:ascii="Arial" w:cs="Arial" w:eastAsia="Arial" w:hAnsi="Arial"/>
                <w:color w:val="111214"/>
                <w:sz w:val="18"/>
                <w:szCs w:val="18"/>
              </w:rPr>
              <w:t xml:space="preserve">Watch the basket's full path while moving and keep your body inside it.</w:t>
            </w:r>
          </w:p>
          <w:p>
            <w:pPr>
              <w:pStyle w:val="ListParagraph"/>
              <w:keepNext w:val="false"/>
              <w:numPr>
                <w:ilvl w:val="0"/>
                <w:numId w:val="1"/>
              </w:numPr>
              <w:spacing w:after="80"/>
            </w:pPr>
            <w:r>
              <w:rPr>
                <w:rFonts w:ascii="Arial" w:cs="Arial" w:eastAsia="Arial" w:hAnsi="Arial"/>
                <w:color w:val="111214"/>
                <w:sz w:val="18"/>
                <w:szCs w:val="18"/>
              </w:rPr>
              <w:t xml:space="preserve">Use a ground spotter when the operator cannot see the path clearly.</w:t>
            </w:r>
          </w:p>
        </w:tc>
      </w:tr>
      <w:tr>
        <w:trPr>
          <w:cantSpli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40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keepNext w:val="false"/>
              <w:spacing w:after="80"/>
            </w:pPr>
            <w:r>
              <w:rPr>
                <w:rFonts w:ascii="Arial" w:cs="Arial" w:eastAsia="Arial" w:hAnsi="Arial"/>
                <w:color w:val="111214"/>
                <w:sz w:val="18"/>
                <w:szCs w:val="18"/>
              </w:rPr>
              <w:t xml:space="preserve">The boom, basket, or materials can contact a power line and electrocute workers.</w:t>
            </w:r>
          </w:p>
        </w:tc>
        <w:tc>
          <w:tcPr>
            <w:tcW w:type="dxa" w:w="63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pStyle w:val="ListParagraph"/>
              <w:keepNext w:val="false"/>
              <w:numPr>
                <w:ilvl w:val="0"/>
                <w:numId w:val="1"/>
              </w:numPr>
              <w:spacing w:after="80"/>
            </w:pPr>
            <w:r>
              <w:rPr>
                <w:rFonts w:ascii="Arial" w:cs="Arial" w:eastAsia="Arial" w:hAnsi="Arial"/>
                <w:color w:val="111214"/>
                <w:sz w:val="18"/>
                <w:szCs w:val="18"/>
              </w:rPr>
              <w:t xml:space="preserve">Choose a work position and travel path away from power lines.</w:t>
            </w:r>
          </w:p>
          <w:p>
            <w:pPr>
              <w:pStyle w:val="ListParagraph"/>
              <w:keepNext w:val="false"/>
              <w:numPr>
                <w:ilvl w:val="0"/>
                <w:numId w:val="1"/>
              </w:numPr>
              <w:spacing w:after="80"/>
            </w:pPr>
            <w:r>
              <w:rPr>
                <w:rFonts w:ascii="Arial" w:cs="Arial" w:eastAsia="Arial" w:hAnsi="Arial"/>
                <w:color w:val="111214"/>
                <w:sz w:val="18"/>
                <w:szCs w:val="18"/>
              </w:rPr>
              <w:t xml:space="preserve">If any part of the lift or load could get close to a line, stop until the supervisor arranges with the utility to shut off the line or keep a safe distance.</w:t>
            </w:r>
          </w:p>
          <w:p>
            <w:pPr>
              <w:pStyle w:val="ListParagraph"/>
              <w:keepNext w:val="false"/>
              <w:numPr>
                <w:ilvl w:val="0"/>
                <w:numId w:val="1"/>
              </w:numPr>
              <w:spacing w:after="80"/>
            </w:pPr>
            <w:r>
              <w:rPr>
                <w:rFonts w:ascii="Arial" w:cs="Arial" w:eastAsia="Arial" w:hAnsi="Arial"/>
                <w:color w:val="111214"/>
                <w:sz w:val="18"/>
                <w:szCs w:val="18"/>
              </w:rPr>
              <w:t xml:space="preserve">Do not alter any insulated portion of the lift in a way that reduces its insulating value.</w:t>
            </w:r>
          </w:p>
        </w:tc>
      </w:tr>
      <w:tr>
        <w:trPr>
          <w:cantSpli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b/>
                <w:bCs/>
                <w:sz w:val="18"/>
                <w:szCs w:val="18"/>
              </w:rPr>
              <w:t xml:space="preserve">4</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keepNext w:val="false"/>
              <w:spacing w:after="80"/>
            </w:pPr>
            <w:r>
              <w:rPr>
                <w:rFonts w:ascii="Arial" w:cs="Arial" w:eastAsia="Arial" w:hAnsi="Arial"/>
                <w:b/>
                <w:bCs/>
                <w:color w:val="111214"/>
                <w:sz w:val="18"/>
                <w:szCs w:val="18"/>
              </w:rPr>
              <w:t xml:space="preserve">Perform work from the basket.</w:t>
            </w:r>
          </w:p>
        </w:tc>
        <w:tc>
          <w:tcPr>
            <w:tcW w:type="dxa" w:w="40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keepNext w:val="false"/>
              <w:spacing w:after="80"/>
            </w:pPr>
            <w:r>
              <w:rPr>
                <w:rFonts w:ascii="Arial" w:cs="Arial" w:eastAsia="Arial" w:hAnsi="Arial"/>
                <w:color w:val="111214"/>
                <w:sz w:val="18"/>
                <w:szCs w:val="18"/>
              </w:rPr>
              <w:t xml:space="preserve">Climbing or overreaching can cause a fall from the basket.</w:t>
            </w:r>
          </w:p>
        </w:tc>
        <w:tc>
          <w:tcPr>
            <w:tcW w:type="dxa" w:w="63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pStyle w:val="ListParagraph"/>
              <w:keepNext w:val="false"/>
              <w:numPr>
                <w:ilvl w:val="0"/>
                <w:numId w:val="1"/>
              </w:numPr>
              <w:spacing w:after="80"/>
            </w:pPr>
            <w:r>
              <w:rPr>
                <w:rFonts w:ascii="Arial" w:cs="Arial" w:eastAsia="Arial" w:hAnsi="Arial"/>
                <w:color w:val="111214"/>
                <w:sz w:val="18"/>
                <w:szCs w:val="18"/>
              </w:rPr>
              <w:t xml:space="preserve">Reposition the basket instead of reaching beyond a stable working position.</w:t>
            </w:r>
          </w:p>
          <w:p>
            <w:pPr>
              <w:pStyle w:val="ListParagraph"/>
              <w:keepNext w:val="false"/>
              <w:numPr>
                <w:ilvl w:val="0"/>
                <w:numId w:val="1"/>
              </w:numPr>
              <w:spacing w:after="80"/>
            </w:pPr>
            <w:r>
              <w:rPr>
                <w:rFonts w:ascii="Arial" w:cs="Arial" w:eastAsia="Arial" w:hAnsi="Arial"/>
                <w:color w:val="111214"/>
                <w:sz w:val="18"/>
                <w:szCs w:val="18"/>
              </w:rPr>
              <w:t xml:space="preserve">Stand firmly on the basket floor.</w:t>
            </w:r>
          </w:p>
          <w:p>
            <w:pPr>
              <w:pStyle w:val="ListParagraph"/>
              <w:keepNext w:val="false"/>
              <w:numPr>
                <w:ilvl w:val="0"/>
                <w:numId w:val="1"/>
              </w:numPr>
              <w:spacing w:after="80"/>
            </w:pPr>
            <w:r>
              <w:rPr>
                <w:rFonts w:ascii="Arial" w:cs="Arial" w:eastAsia="Arial" w:hAnsi="Arial"/>
                <w:color w:val="111214"/>
                <w:sz w:val="18"/>
                <w:szCs w:val="18"/>
              </w:rPr>
              <w:t xml:space="preserve">Do not sit or climb on the basket edge, and do not stand on ladders, planks, or other devices to work.</w:t>
            </w:r>
          </w:p>
        </w:tc>
      </w:tr>
      <w:tr>
        <w:trPr>
          <w:cantSpli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40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keepNext w:val="false"/>
              <w:spacing w:after="80"/>
            </w:pPr>
            <w:r>
              <w:rPr>
                <w:rFonts w:ascii="Arial" w:cs="Arial" w:eastAsia="Arial" w:hAnsi="Arial"/>
                <w:color w:val="111214"/>
                <w:sz w:val="18"/>
                <w:szCs w:val="18"/>
              </w:rPr>
              <w:t xml:space="preserve">Excess loads can overload the basket or boom and cause loss of stability.</w:t>
            </w:r>
          </w:p>
        </w:tc>
        <w:tc>
          <w:tcPr>
            <w:tcW w:type="dxa" w:w="63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pStyle w:val="ListParagraph"/>
              <w:keepNext w:val="false"/>
              <w:numPr>
                <w:ilvl w:val="0"/>
                <w:numId w:val="1"/>
              </w:numPr>
              <w:spacing w:after="80"/>
            </w:pPr>
            <w:r>
              <w:rPr>
                <w:rFonts w:ascii="Arial" w:cs="Arial" w:eastAsia="Arial" w:hAnsi="Arial"/>
                <w:color w:val="111214"/>
                <w:sz w:val="18"/>
                <w:szCs w:val="18"/>
              </w:rPr>
              <w:t xml:space="preserve">Remove materials not needed for the work.</w:t>
            </w:r>
          </w:p>
          <w:p>
            <w:pPr>
              <w:pStyle w:val="ListParagraph"/>
              <w:keepNext w:val="false"/>
              <w:numPr>
                <w:ilvl w:val="0"/>
                <w:numId w:val="1"/>
              </w:numPr>
              <w:spacing w:after="80"/>
            </w:pPr>
            <w:r>
              <w:rPr>
                <w:rFonts w:ascii="Arial" w:cs="Arial" w:eastAsia="Arial" w:hAnsi="Arial"/>
                <w:color w:val="111214"/>
                <w:sz w:val="18"/>
                <w:szCs w:val="18"/>
              </w:rPr>
              <w:t xml:space="preserve">Keep the total load within the manufacturer's boom and basket limits.</w:t>
            </w:r>
          </w:p>
        </w:tc>
      </w:tr>
      <w:tr>
        <w:trPr>
          <w:cantSpli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b/>
                <w:bCs/>
                <w:sz w:val="18"/>
                <w:szCs w:val="18"/>
              </w:rPr>
              <w:t xml:space="preserve">5</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keepNext w:val="false"/>
              <w:spacing w:after="80"/>
            </w:pPr>
            <w:r>
              <w:rPr>
                <w:rFonts w:ascii="Arial" w:cs="Arial" w:eastAsia="Arial" w:hAnsi="Arial"/>
                <w:b/>
                <w:bCs/>
                <w:color w:val="111214"/>
                <w:sz w:val="18"/>
                <w:szCs w:val="18"/>
              </w:rPr>
              <w:t xml:space="preserve">Lower, reposition, and park the lift.</w:t>
            </w:r>
          </w:p>
        </w:tc>
        <w:tc>
          <w:tcPr>
            <w:tcW w:type="dxa" w:w="40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keepNext w:val="false"/>
              <w:spacing w:after="80"/>
            </w:pPr>
            <w:r>
              <w:rPr>
                <w:rFonts w:ascii="Arial" w:cs="Arial" w:eastAsia="Arial" w:hAnsi="Arial"/>
                <w:color w:val="111214"/>
                <w:sz w:val="18"/>
                <w:szCs w:val="18"/>
              </w:rPr>
              <w:t xml:space="preserve">Traveling with an elevated basket can cause a collision, tip-over, or worker ejection.</w:t>
            </w:r>
          </w:p>
        </w:tc>
        <w:tc>
          <w:tcPr>
            <w:tcW w:type="dxa" w:w="63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pStyle w:val="ListParagraph"/>
              <w:keepNext w:val="false"/>
              <w:numPr>
                <w:ilvl w:val="0"/>
                <w:numId w:val="1"/>
              </w:numPr>
              <w:spacing w:after="80"/>
            </w:pPr>
            <w:r>
              <w:rPr>
                <w:rFonts w:ascii="Arial" w:cs="Arial" w:eastAsia="Arial" w:hAnsi="Arial"/>
                <w:color w:val="111214"/>
                <w:sz w:val="18"/>
                <w:szCs w:val="18"/>
              </w:rPr>
              <w:t xml:space="preserve">Lower the boom before travel unless the lift is specifically designed to travel elevated with workers in the basket.</w:t>
            </w:r>
          </w:p>
          <w:p>
            <w:pPr>
              <w:pStyle w:val="ListParagraph"/>
              <w:keepNext w:val="false"/>
              <w:numPr>
                <w:ilvl w:val="0"/>
                <w:numId w:val="1"/>
              </w:numPr>
              <w:spacing w:after="80"/>
            </w:pPr>
            <w:r>
              <w:rPr>
                <w:rFonts w:ascii="Arial" w:cs="Arial" w:eastAsia="Arial" w:hAnsi="Arial"/>
                <w:color w:val="111214"/>
                <w:sz w:val="18"/>
                <w:szCs w:val="18"/>
              </w:rPr>
              <w:t xml:space="preserve">Before travel, check that the boom is properly cradled and outriggers are stowed unless elevated travel is permitted for that lift.</w:t>
            </w:r>
          </w:p>
          <w:p>
            <w:pPr>
              <w:pStyle w:val="ListParagraph"/>
              <w:keepNext w:val="false"/>
              <w:numPr>
                <w:ilvl w:val="0"/>
                <w:numId w:val="1"/>
              </w:numPr>
              <w:spacing w:after="80"/>
            </w:pPr>
            <w:r>
              <w:rPr>
                <w:rFonts w:ascii="Arial" w:cs="Arial" w:eastAsia="Arial" w:hAnsi="Arial"/>
                <w:color w:val="111214"/>
                <w:sz w:val="18"/>
                <w:szCs w:val="18"/>
              </w:rPr>
              <w:t xml:space="preserve">Clear people and loose materials from the travel path.</w:t>
            </w:r>
          </w:p>
        </w:tc>
      </w:tr>
      <w:tr>
        <w:trPr>
          <w:cantSpli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40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keepNext w:val="false"/>
              <w:spacing w:after="80"/>
            </w:pPr>
            <w:r>
              <w:rPr>
                <w:rFonts w:ascii="Arial" w:cs="Arial" w:eastAsia="Arial" w:hAnsi="Arial"/>
                <w:color w:val="111214"/>
                <w:sz w:val="18"/>
                <w:szCs w:val="18"/>
              </w:rPr>
              <w:t xml:space="preserve">Unexpected lowering can crush workers or cause a fall while exiting.</w:t>
            </w:r>
          </w:p>
        </w:tc>
        <w:tc>
          <w:tcPr>
            <w:tcW w:type="dxa" w:w="63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pStyle w:val="ListParagraph"/>
              <w:keepNext w:val="false"/>
              <w:numPr>
                <w:ilvl w:val="0"/>
                <w:numId w:val="1"/>
              </w:numPr>
              <w:spacing w:after="80"/>
            </w:pPr>
            <w:r>
              <w:rPr>
                <w:rFonts w:ascii="Arial" w:cs="Arial" w:eastAsia="Arial" w:hAnsi="Arial"/>
                <w:color w:val="111214"/>
                <w:sz w:val="18"/>
                <w:szCs w:val="18"/>
              </w:rPr>
              <w:t xml:space="preserve">Use lower controls only with permission from the worker in the basket, except in an emergency.</w:t>
            </w:r>
          </w:p>
          <w:p>
            <w:pPr>
              <w:pStyle w:val="ListParagraph"/>
              <w:keepNext w:val="false"/>
              <w:numPr>
                <w:ilvl w:val="0"/>
                <w:numId w:val="1"/>
              </w:numPr>
              <w:spacing w:after="80"/>
            </w:pPr>
            <w:r>
              <w:rPr>
                <w:rFonts w:ascii="Arial" w:cs="Arial" w:eastAsia="Arial" w:hAnsi="Arial"/>
                <w:color w:val="111214"/>
                <w:sz w:val="18"/>
                <w:szCs w:val="18"/>
              </w:rPr>
              <w:t xml:space="preserve">Lower the basket to its access position and stop movement before disconnecting and exiting.</w:t>
            </w:r>
          </w:p>
          <w:p>
            <w:pPr>
              <w:pStyle w:val="ListParagraph"/>
              <w:keepNext w:val="false"/>
              <w:numPr>
                <w:ilvl w:val="0"/>
                <w:numId w:val="1"/>
              </w:numPr>
              <w:spacing w:after="80"/>
            </w:pPr>
            <w:r>
              <w:rPr>
                <w:rFonts w:ascii="Arial" w:cs="Arial" w:eastAsia="Arial" w:hAnsi="Arial"/>
                <w:color w:val="111214"/>
                <w:sz w:val="18"/>
                <w:szCs w:val="18"/>
              </w:rPr>
              <w:t xml:space="preserve">Park with the brakes set and remove loose tools and debris.</w:t>
            </w:r>
          </w:p>
        </w:tc>
      </w:tr>
    </w:tbl>
    <w:p>
      <w:pPr>
        <w:spacing w:after="60"/>
      </w:pPr>
    </w:p>
    <w:tbl>
      <w:tblPr>
        <w:tblW w:type="dxa" w:w="1440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14400"/>
      </w:tblGrid>
      <w:tr>
        <w:trPr>
          <w:trHeight w:val="800" w:hRule="atLeast"/>
        </w:trPr>
        <w:tc>
          <w:tcPr>
            <w:tcW w:type="dxa" w:w="144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b/>
                <w:bCs/>
                <w:color w:val="B4322A"/>
                <w:sz w:val="17"/>
                <w:szCs w:val="17"/>
              </w:rPr>
              <w:t xml:space="preserve">Stop work and call the supervisor if</w:t>
            </w:r>
          </w:p>
          <w:p>
            <w:pPr>
              <w:pStyle w:val="ListParagraph"/>
              <w:keepNext w:val="false"/>
              <w:numPr>
                <w:ilvl w:val="0"/>
                <w:numId w:val="1"/>
              </w:numPr>
              <w:spacing w:after="80"/>
            </w:pPr>
            <w:r>
              <w:rPr>
                <w:rFonts w:ascii="Arial" w:cs="Arial" w:eastAsia="Arial" w:hAnsi="Arial"/>
                <w:color w:val="111214"/>
                <w:sz w:val="18"/>
                <w:szCs w:val="18"/>
              </w:rPr>
              <w:t xml:space="preserve">Stop and call the supervisor if controls fail testing, respond unexpectedly, or cannot safely lower the basket.</w:t>
            </w:r>
          </w:p>
          <w:p>
            <w:pPr>
              <w:pStyle w:val="ListParagraph"/>
              <w:keepNext w:val="false"/>
              <w:numPr>
                <w:ilvl w:val="0"/>
                <w:numId w:val="1"/>
              </w:numPr>
              <w:spacing w:after="80"/>
            </w:pPr>
            <w:r>
              <w:rPr>
                <w:rFonts w:ascii="Arial" w:cs="Arial" w:eastAsia="Arial" w:hAnsi="Arial"/>
                <w:color w:val="111214"/>
                <w:sz w:val="18"/>
                <w:szCs w:val="18"/>
              </w:rPr>
              <w:t xml:space="preserve">Stop and call the supervisor if the ground shifts, the lift becomes unstable, or the planned load exceeds its limits.</w:t>
            </w:r>
          </w:p>
          <w:p>
            <w:pPr>
              <w:pStyle w:val="ListParagraph"/>
              <w:keepNext w:val="false"/>
              <w:numPr>
                <w:ilvl w:val="0"/>
                <w:numId w:val="1"/>
              </w:numPr>
              <w:spacing w:after="80"/>
            </w:pPr>
            <w:r>
              <w:rPr>
                <w:rFonts w:ascii="Arial" w:cs="Arial" w:eastAsia="Arial" w:hAnsi="Arial"/>
                <w:color w:val="111214"/>
                <w:sz w:val="18"/>
                <w:szCs w:val="18"/>
              </w:rPr>
              <w:t xml:space="preserve">Stop and call the supervisor if the lift's planned movement would bring it near power lines, or if obstructions or people are in its path.</w:t>
            </w:r>
          </w:p>
          <w:p>
            <w:pPr>
              <w:pStyle w:val="ListParagraph"/>
              <w:keepNext w:val="false"/>
              <w:numPr>
                <w:ilvl w:val="0"/>
                <w:numId w:val="1"/>
              </w:numPr>
              <w:spacing w:after="80"/>
            </w:pPr>
            <w:r>
              <w:rPr>
                <w:rFonts w:ascii="Arial" w:cs="Arial" w:eastAsia="Arial" w:hAnsi="Arial"/>
                <w:color w:val="111214"/>
                <w:sz w:val="18"/>
                <w:szCs w:val="18"/>
              </w:rPr>
              <w:t xml:space="preserve">Stop and call the supervisor if fall protection is damaged, has taken an impact load, or cannot be attached to the designated anchorage.</w:t>
            </w:r>
          </w:p>
        </w:tc>
      </w:tr>
    </w:tbl>
    <w:p>
      <w:pPr>
        <w:spacing w:before="200"/>
      </w:pPr>
      <w:r>
        <w:rPr>
          <w:rFonts w:ascii="Arial" w:cs="Arial" w:eastAsia="Arial" w:hAnsi="Arial"/>
          <w:color w:val="5F636B"/>
          <w:sz w:val="15"/>
          <w:szCs w:val="15"/>
        </w:rPr>
        <w:t xml:space="preserve">Sources: </w:t>
      </w:r>
      <w:hyperlink w:history="1" r:id="rIdtrfkx2b15mer9nihjamcq">
        <w:r>
          <w:rPr>
            <w:rFonts w:ascii="Arial" w:cs="Arial" w:eastAsia="Arial" w:hAnsi="Arial"/>
            <w:color w:val="1F5FAD"/>
            <w:sz w:val="15"/>
            <w:szCs w:val="15"/>
            <w:u w:val="single"/>
          </w:rPr>
          <w:t xml:space="preserve">29 CFR 1926.453, Aerial lifts</w:t>
        </w:r>
      </w:hyperlink>
      <w:r>
        <w:rPr>
          <w:rFonts w:ascii="Arial" w:cs="Arial" w:eastAsia="Arial" w:hAnsi="Arial"/>
          <w:color w:val="5F636B"/>
          <w:sz w:val="15"/>
          <w:szCs w:val="15"/>
        </w:rPr>
        <w:t xml:space="preserve">; </w:t>
      </w:r>
      <w:hyperlink w:history="1" r:id="rIdv4m-pfattr3s2icbal_hr">
        <w:r>
          <w:rPr>
            <w:rFonts w:ascii="Arial" w:cs="Arial" w:eastAsia="Arial" w:hAnsi="Arial"/>
            <w:color w:val="1F5FAD"/>
            <w:sz w:val="15"/>
            <w:szCs w:val="15"/>
            <w:u w:val="single"/>
          </w:rPr>
          <w:t xml:space="preserve">29 CFR 1926.502, Fall protection systems criteria and practices</w:t>
        </w:r>
      </w:hyperlink>
    </w:p>
    <w:p>
      <w:pPr>
        <w:spacing w:before="60"/>
      </w:pPr>
      <w:r>
        <w:rPr>
          <w:rFonts w:ascii="Arial" w:cs="Arial" w:eastAsia="Arial" w:hAnsi="Arial"/>
          <w:color w:val="5F636B"/>
          <w:sz w:val="15"/>
          <w:szCs w:val="15"/>
        </w:rPr>
        <w:t xml:space="preserve">Drafted with AI for review by a competent person. Clever Rook writes from the official regulation text it cites, but it doesn't know your site. Check it against your conditions and your company's safety program before use. Not legal advice.</w:t>
      </w:r>
    </w:p>
    <w:p>
      <w:pPr>
        <w:sectPr>
          <w:footerReference w:type="default" r:id="rId7"/>
          <w:pgSz w:w="15840" w:h="12240" w:orient="landscape"/>
          <w:pgMar w:top="720" w:right="720" w:bottom="720" w:left="720" w:header="708" w:footer="708" w:gutter="0"/>
          <w:pgNumType/>
          <w:docGrid w:linePitch="360"/>
        </w:sectPr>
      </w:pPr>
    </w:p>
    <w:p>
      <w:pPr>
        <w:spacing w:after="60"/>
      </w:pPr>
      <w:r>
        <w:rPr>
          <w:rFonts w:ascii="Arial" w:cs="Arial" w:eastAsia="Arial" w:hAnsi="Arial"/>
          <w:b/>
          <w:bCs/>
          <w:color w:val="5F636B"/>
          <w:sz w:val="16"/>
          <w:szCs w:val="16"/>
        </w:rPr>
        <w:t xml:space="preserve">SIGN-IN SHEET</w:t>
      </w:r>
    </w:p>
    <w:p>
      <w:pPr>
        <w:spacing w:after="60"/>
      </w:pPr>
      <w:r>
        <w:rPr>
          <w:rFonts w:ascii="Arial" w:cs="Arial" w:eastAsia="Arial" w:hAnsi="Arial"/>
          <w:b/>
          <w:bCs/>
          <w:sz w:val="26"/>
          <w:szCs w:val="26"/>
        </w:rPr>
        <w:t xml:space="preserve">Outdoor Boom Lift Operation</w:t>
      </w:r>
    </w:p>
    <w:tbl>
      <w:tblPr>
        <w:tblW w:type="dxa" w:w="1080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3600"/>
        <w:gridCol w:w="3600"/>
        <w:gridCol w:w="3600"/>
      </w:tblGrid>
      <w:tr>
        <w:trPr>
          <w:trHeight w:val="620" w:hRule="atLeast"/>
        </w:trPr>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b/>
                <w:bCs/>
                <w:color w:val="5F636B"/>
                <w:sz w:val="15"/>
                <w:szCs w:val="15"/>
              </w:rPr>
              <w:t xml:space="preserve">Company</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b/>
                <w:bCs/>
                <w:color w:val="5F636B"/>
                <w:sz w:val="15"/>
                <w:szCs w:val="15"/>
              </w:rPr>
              <w:t xml:space="preserve">Project / job site</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b/>
                <w:bCs/>
                <w:color w:val="5F636B"/>
                <w:sz w:val="15"/>
                <w:szCs w:val="15"/>
              </w:rPr>
              <w:t xml:space="preserve">Date</w:t>
            </w:r>
          </w:p>
        </w:tc>
      </w:tr>
    </w:tbl>
    <w:tbl>
      <w:tblPr>
        <w:tblW w:type="dxa" w:w="1080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5400"/>
        <w:gridCol w:w="5400"/>
      </w:tblGrid>
      <w:tr>
        <w:trPr>
          <w:trHeight w:val="620" w:hRule="atLeast"/>
        </w:trPr>
        <w:tc>
          <w:tcPr>
            <w:tcW w:type="dxa" w:w="54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b/>
                <w:bCs/>
                <w:color w:val="5F636B"/>
                <w:sz w:val="15"/>
                <w:szCs w:val="15"/>
              </w:rPr>
              <w:t xml:space="preserve">Reviewed by (competent person)</w:t>
            </w:r>
          </w:p>
        </w:tc>
        <w:tc>
          <w:tcPr>
            <w:tcW w:type="dxa" w:w="54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b/>
                <w:bCs/>
                <w:color w:val="5F636B"/>
                <w:sz w:val="15"/>
                <w:szCs w:val="15"/>
              </w:rPr>
              <w:t xml:space="preserve">Review date</w:t>
            </w:r>
          </w:p>
        </w:tc>
      </w:tr>
    </w:tbl>
    <w:p>
      <w:pPr>
        <w:spacing w:after="120" w:before="120"/>
      </w:pPr>
      <w:r>
        <w:rPr>
          <w:rFonts w:ascii="Arial" w:cs="Arial" w:eastAsia="Arial" w:hAnsi="Arial"/>
          <w:color w:val="5F636B"/>
          <w:sz w:val="16"/>
          <w:szCs w:val="16"/>
        </w:rPr>
        <w:t xml:space="preserve">By signing, I confirm I attended this safety meeting and understood it.</w:t>
      </w:r>
    </w:p>
    <w:tbl>
      <w:tblPr>
        <w:tblW w:type="dxa" w:w="1080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500"/>
        <w:gridCol w:w="3600"/>
        <w:gridCol w:w="3600"/>
        <w:gridCol w:w="3100"/>
      </w:tblGrid>
      <w:tr>
        <w:trPr>
          <w:tblHeader/>
        </w:trPr>
        <w:tc>
          <w:tcPr>
            <w:tcW w:type="dxa" w:w="500"/>
            <w:tcBorders>
              <w:top w:val="single" w:color="D9D6CF" w:sz="4"/>
              <w:left w:val="single" w:color="D9D6CF" w:sz="4"/>
              <w:bottom w:val="single" w:color="D9D6CF" w:sz="4"/>
              <w:right w:val="single" w:color="D9D6CF" w:sz="4"/>
            </w:tcBorders>
            <w:shd w:fill="F4F2EC" w:color="auto" w:val="clear"/>
            <w:tcMar>
              <w:top w:type="dxa" w:w="60"/>
              <w:left w:type="dxa" w:w="100"/>
              <w:bottom w:type="dxa" w:w="60"/>
              <w:right w:type="dxa" w:w="100"/>
            </w:tcMar>
          </w:tcPr>
          <w:p>
            <w:r>
              <w:rPr>
                <w:rFonts w:ascii="Arial" w:cs="Arial" w:eastAsia="Arial" w:hAnsi="Arial"/>
                <w:b/>
                <w:bCs/>
                <w:color w:val="5F636B"/>
                <w:sz w:val="15"/>
                <w:szCs w:val="15"/>
              </w:rPr>
              <w:t xml:space="preserve">#</w:t>
            </w:r>
          </w:p>
        </w:tc>
        <w:tc>
          <w:tcPr>
            <w:tcW w:type="dxa" w:w="3600"/>
            <w:tcBorders>
              <w:top w:val="single" w:color="D9D6CF" w:sz="4"/>
              <w:left w:val="single" w:color="D9D6CF" w:sz="4"/>
              <w:bottom w:val="single" w:color="D9D6CF" w:sz="4"/>
              <w:right w:val="single" w:color="D9D6CF" w:sz="4"/>
            </w:tcBorders>
            <w:shd w:fill="F4F2EC" w:color="auto" w:val="clear"/>
            <w:tcMar>
              <w:top w:type="dxa" w:w="60"/>
              <w:left w:type="dxa" w:w="100"/>
              <w:bottom w:type="dxa" w:w="60"/>
              <w:right w:type="dxa" w:w="100"/>
            </w:tcMar>
          </w:tcPr>
          <w:p>
            <w:r>
              <w:rPr>
                <w:rFonts w:ascii="Arial" w:cs="Arial" w:eastAsia="Arial" w:hAnsi="Arial"/>
                <w:b/>
                <w:bCs/>
                <w:color w:val="5F636B"/>
                <w:sz w:val="15"/>
                <w:szCs w:val="15"/>
              </w:rPr>
              <w:t xml:space="preserve">Name (print)</w:t>
            </w:r>
          </w:p>
        </w:tc>
        <w:tc>
          <w:tcPr>
            <w:tcW w:type="dxa" w:w="3600"/>
            <w:tcBorders>
              <w:top w:val="single" w:color="D9D6CF" w:sz="4"/>
              <w:left w:val="single" w:color="D9D6CF" w:sz="4"/>
              <w:bottom w:val="single" w:color="D9D6CF" w:sz="4"/>
              <w:right w:val="single" w:color="D9D6CF" w:sz="4"/>
            </w:tcBorders>
            <w:shd w:fill="F4F2EC" w:color="auto" w:val="clear"/>
            <w:tcMar>
              <w:top w:type="dxa" w:w="60"/>
              <w:left w:type="dxa" w:w="100"/>
              <w:bottom w:type="dxa" w:w="60"/>
              <w:right w:type="dxa" w:w="100"/>
            </w:tcMar>
          </w:tcPr>
          <w:p>
            <w:r>
              <w:rPr>
                <w:rFonts w:ascii="Arial" w:cs="Arial" w:eastAsia="Arial" w:hAnsi="Arial"/>
                <w:b/>
                <w:bCs/>
                <w:color w:val="5F636B"/>
                <w:sz w:val="15"/>
                <w:szCs w:val="15"/>
              </w:rPr>
              <w:t xml:space="preserve">Signature</w:t>
            </w:r>
          </w:p>
        </w:tc>
        <w:tc>
          <w:tcPr>
            <w:tcW w:type="dxa" w:w="3100"/>
            <w:tcBorders>
              <w:top w:val="single" w:color="D9D6CF" w:sz="4"/>
              <w:left w:val="single" w:color="D9D6CF" w:sz="4"/>
              <w:bottom w:val="single" w:color="D9D6CF" w:sz="4"/>
              <w:right w:val="single" w:color="D9D6CF" w:sz="4"/>
            </w:tcBorders>
            <w:shd w:fill="F4F2EC" w:color="auto" w:val="clear"/>
            <w:tcMar>
              <w:top w:type="dxa" w:w="60"/>
              <w:left w:type="dxa" w:w="100"/>
              <w:bottom w:type="dxa" w:w="60"/>
              <w:right w:type="dxa" w:w="100"/>
            </w:tcMar>
          </w:tcPr>
          <w:p>
            <w:r>
              <w:rPr>
                <w:rFonts w:ascii="Arial" w:cs="Arial" w:eastAsia="Arial" w:hAnsi="Arial"/>
                <w:b/>
                <w:bCs/>
                <w:color w:val="5F636B"/>
                <w:sz w:val="15"/>
                <w:szCs w:val="15"/>
              </w:rPr>
              <w:t xml:space="preserve">Company / trade</w:t>
            </w:r>
          </w:p>
        </w:tc>
      </w:tr>
      <w:tr>
        <w:trPr>
          <w:cantSplit/>
          <w:trHeight w:val="440" w:hRule="atLeas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color w:val="5F636B"/>
                <w:sz w:val="16"/>
                <w:szCs w:val="16"/>
              </w:rPr>
              <w:t xml:space="preserve">1</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1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r>
      <w:tr>
        <w:trPr>
          <w:cantSplit/>
          <w:trHeight w:val="440" w:hRule="atLeas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color w:val="5F636B"/>
                <w:sz w:val="16"/>
                <w:szCs w:val="16"/>
              </w:rPr>
              <w:t xml:space="preserve">2</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1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r>
      <w:tr>
        <w:trPr>
          <w:cantSplit/>
          <w:trHeight w:val="440" w:hRule="atLeas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color w:val="5F636B"/>
                <w:sz w:val="16"/>
                <w:szCs w:val="16"/>
              </w:rPr>
              <w:t xml:space="preserve">3</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1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r>
      <w:tr>
        <w:trPr>
          <w:cantSplit/>
          <w:trHeight w:val="440" w:hRule="atLeas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color w:val="5F636B"/>
                <w:sz w:val="16"/>
                <w:szCs w:val="16"/>
              </w:rPr>
              <w:t xml:space="preserve">4</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1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r>
      <w:tr>
        <w:trPr>
          <w:cantSplit/>
          <w:trHeight w:val="440" w:hRule="atLeas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color w:val="5F636B"/>
                <w:sz w:val="16"/>
                <w:szCs w:val="16"/>
              </w:rPr>
              <w:t xml:space="preserve">5</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1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r>
      <w:tr>
        <w:trPr>
          <w:cantSplit/>
          <w:trHeight w:val="440" w:hRule="atLeas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color w:val="5F636B"/>
                <w:sz w:val="16"/>
                <w:szCs w:val="16"/>
              </w:rPr>
              <w:t xml:space="preserve">6</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1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r>
      <w:tr>
        <w:trPr>
          <w:cantSplit/>
          <w:trHeight w:val="440" w:hRule="atLeas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color w:val="5F636B"/>
                <w:sz w:val="16"/>
                <w:szCs w:val="16"/>
              </w:rPr>
              <w:t xml:space="preserve">7</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1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r>
      <w:tr>
        <w:trPr>
          <w:cantSplit/>
          <w:trHeight w:val="440" w:hRule="atLeas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color w:val="5F636B"/>
                <w:sz w:val="16"/>
                <w:szCs w:val="16"/>
              </w:rPr>
              <w:t xml:space="preserve">8</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1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r>
      <w:tr>
        <w:trPr>
          <w:cantSplit/>
          <w:trHeight w:val="440" w:hRule="atLeas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color w:val="5F636B"/>
                <w:sz w:val="16"/>
                <w:szCs w:val="16"/>
              </w:rPr>
              <w:t xml:space="preserve">9</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1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r>
      <w:tr>
        <w:trPr>
          <w:cantSplit/>
          <w:trHeight w:val="440" w:hRule="atLeas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color w:val="5F636B"/>
                <w:sz w:val="16"/>
                <w:szCs w:val="16"/>
              </w:rPr>
              <w:t xml:space="preserve">10</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1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r>
      <w:tr>
        <w:trPr>
          <w:cantSplit/>
          <w:trHeight w:val="440" w:hRule="atLeas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color w:val="5F636B"/>
                <w:sz w:val="16"/>
                <w:szCs w:val="16"/>
              </w:rPr>
              <w:t xml:space="preserve">11</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1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r>
      <w:tr>
        <w:trPr>
          <w:cantSplit/>
          <w:trHeight w:val="440" w:hRule="atLeas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color w:val="5F636B"/>
                <w:sz w:val="16"/>
                <w:szCs w:val="16"/>
              </w:rPr>
              <w:t xml:space="preserve">12</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1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r>
      <w:tr>
        <w:trPr>
          <w:cantSplit/>
          <w:trHeight w:val="440" w:hRule="atLeas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color w:val="5F636B"/>
                <w:sz w:val="16"/>
                <w:szCs w:val="16"/>
              </w:rPr>
              <w:t xml:space="preserve">13</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1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r>
      <w:tr>
        <w:trPr>
          <w:cantSplit/>
          <w:trHeight w:val="440" w:hRule="atLeas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color w:val="5F636B"/>
                <w:sz w:val="16"/>
                <w:szCs w:val="16"/>
              </w:rPr>
              <w:t xml:space="preserve">14</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1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r>
      <w:tr>
        <w:trPr>
          <w:cantSplit/>
          <w:trHeight w:val="440" w:hRule="atLeas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color w:val="5F636B"/>
                <w:sz w:val="16"/>
                <w:szCs w:val="16"/>
              </w:rPr>
              <w:t xml:space="preserve">15</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1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r>
    </w:tbl>
    <w:sectPr>
      <w:footerReference w:type="default" r:id="rId8"/>
      <w:pgSz w:w="12240" w:h="15840" w:orient="portrait"/>
      <w:pgMar w:top="720" w:right="720" w:bottom="720" w:left="72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r>
      <w:rPr>
        <w:rFonts w:ascii="Arial" w:cs="Arial" w:eastAsia="Arial" w:hAnsi="Arial"/>
        <w:color w:val="5F636B"/>
        <w:sz w:val="14"/>
        <w:szCs w:val="14"/>
      </w:rPr>
      <w:t xml:space="preserve">Made with Clever Rook · </w:t>
    </w:r>
    <w:hyperlink w:history="1" r:id="rIdrhfsmfaccneccaeapxyg9">
      <w:r>
        <w:rPr>
          <w:rFonts w:ascii="Arial" w:cs="Arial" w:eastAsia="Arial" w:hAnsi="Arial"/>
          <w:color w:val="5F636B"/>
          <w:sz w:val="14"/>
          <w:szCs w:val="14"/>
        </w:rPr>
        <w:t xml:space="preserve">write your own free, in English and Spanish: cleverrook.com</w:t>
      </w:r>
    </w:hyperlink>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r>
      <w:rPr>
        <w:rFonts w:ascii="Arial" w:cs="Arial" w:eastAsia="Arial" w:hAnsi="Arial"/>
        <w:color w:val="5F636B"/>
        <w:sz w:val="14"/>
        <w:szCs w:val="14"/>
      </w:rPr>
      <w:t xml:space="preserve">Made with Clever Rook · </w:t>
    </w:r>
    <w:hyperlink w:history="1" r:id="rIdmhhobdsdgrhprjs43bqxk">
      <w:r>
        <w:rPr>
          <w:rFonts w:ascii="Arial" w:cs="Arial" w:eastAsia="Arial" w:hAnsi="Arial"/>
          <w:color w:val="5F636B"/>
          <w:sz w:val="14"/>
          <w:szCs w:val="14"/>
        </w:rPr>
        <w:t xml:space="preserve">write your own free, in English and Spanish: cleverrook.com</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0"/>
        <w:szCs w:val="20"/>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8" Type="http://schemas.openxmlformats.org/officeDocument/2006/relationships/footer" Target="footer2.xml"/><Relationship Id="rIdtrfkx2b15mer9nihjamcq" Type="http://schemas.openxmlformats.org/officeDocument/2006/relationships/hyperlink" Target="https://www.ecfr.gov/current/title-29/section-1926.453" TargetMode="External"/><Relationship Id="rIdv4m-pfattr3s2icbal_hr" Type="http://schemas.openxmlformats.org/officeDocument/2006/relationships/hyperlink" Target="https://www.ecfr.gov/current/title-29/section-1926.502" TargetMode="External"/><Relationship Id="rId11"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Relationship Id="rIdrhfsmfaccneccaeapxyg9" Type="http://schemas.openxmlformats.org/officeDocument/2006/relationships/hyperlink" Target="https://cleverrook.com/?ref=word" TargetMode="External"/></Relationships>
</file>

<file path=word/_rels/footer2.xml.rels><?xml version="1.0" encoding="UTF-8"?><Relationships xmlns="http://schemas.openxmlformats.org/package/2006/relationships"><Relationship Id="rIdmhhobdsdgrhprjs43bqxk" Type="http://schemas.openxmlformats.org/officeDocument/2006/relationships/hyperlink" Target="https://cleverrook.com/?ref=word" TargetMode="External"/></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Outdoor Boom Lift Operation</dc:title>
  <dc:creator>Clever Rook</dc:creator>
  <cp:lastModifiedBy>Un-named</cp:lastModifiedBy>
  <cp:revision>1</cp:revision>
  <dcterms:created xsi:type="dcterms:W3CDTF">2026-10-30T17:01:55.236Z</dcterms:created>
  <dcterms:modified xsi:type="dcterms:W3CDTF">2026-10-30T17:01:55.236Z</dcterms:modified>
</cp:coreProperties>
</file>

<file path=docProps/custom.xml><?xml version="1.0" encoding="utf-8"?>
<Properties xmlns="http://schemas.openxmlformats.org/officeDocument/2006/custom-properties" xmlns:vt="http://schemas.openxmlformats.org/officeDocument/2006/docPropsVTypes"/>
</file>